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26" w:rsidRDefault="00D36B26">
      <w:pPr>
        <w:snapToGrid w:val="0"/>
        <w:spacing w:line="240" w:lineRule="atLeast"/>
        <w:jc w:val="both"/>
        <w:rPr>
          <w:rFonts w:hint="eastAsia"/>
        </w:rPr>
      </w:pPr>
    </w:p>
    <w:tbl>
      <w:tblPr>
        <w:tblW w:w="9792"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20"/>
        <w:gridCol w:w="851"/>
        <w:gridCol w:w="589"/>
        <w:gridCol w:w="7632"/>
      </w:tblGrid>
      <w:tr w:rsidR="00D36B26" w:rsidTr="00401B72">
        <w:tblPrEx>
          <w:tblCellMar>
            <w:top w:w="0" w:type="dxa"/>
            <w:bottom w:w="0" w:type="dxa"/>
          </w:tblCellMar>
        </w:tblPrEx>
        <w:trPr>
          <w:cantSplit/>
          <w:trHeight w:val="433"/>
        </w:trPr>
        <w:tc>
          <w:tcPr>
            <w:tcW w:w="9792" w:type="dxa"/>
            <w:gridSpan w:val="4"/>
            <w:vAlign w:val="center"/>
          </w:tcPr>
          <w:p w:rsidR="00E81604" w:rsidRDefault="00D36B26" w:rsidP="00E81604">
            <w:pPr>
              <w:spacing w:line="480" w:lineRule="exact"/>
              <w:jc w:val="center"/>
              <w:rPr>
                <w:rFonts w:eastAsia="標楷體" w:hint="eastAsia"/>
                <w:sz w:val="28"/>
              </w:rPr>
            </w:pPr>
            <w:r>
              <w:br w:type="page"/>
            </w:r>
            <w:r>
              <w:rPr>
                <w:rFonts w:eastAsia="標楷體" w:hint="eastAsia"/>
                <w:sz w:val="28"/>
              </w:rPr>
              <w:t>【</w:t>
            </w:r>
            <w:r w:rsidR="00BA22CE">
              <w:rPr>
                <w:rFonts w:eastAsia="標楷體" w:hint="eastAsia"/>
                <w:sz w:val="28"/>
                <w:u w:val="single"/>
              </w:rPr>
              <w:t>投信投顧</w:t>
            </w:r>
            <w:r>
              <w:rPr>
                <w:rFonts w:eastAsia="標楷體" w:hint="eastAsia"/>
                <w:sz w:val="28"/>
                <w:u w:val="single"/>
              </w:rPr>
              <w:t>業務員</w:t>
            </w:r>
            <w:r>
              <w:rPr>
                <w:rFonts w:eastAsia="標楷體" w:hint="eastAsia"/>
                <w:sz w:val="28"/>
              </w:rPr>
              <w:t>資格測驗</w:t>
            </w:r>
            <w:r w:rsidR="00E81604">
              <w:rPr>
                <w:rFonts w:eastAsia="標楷體" w:hint="eastAsia"/>
                <w:sz w:val="28"/>
              </w:rPr>
              <w:t>學習指南及題庫</w:t>
            </w:r>
            <w:r>
              <w:rPr>
                <w:rFonts w:eastAsia="標楷體" w:hint="eastAsia"/>
                <w:sz w:val="28"/>
              </w:rPr>
              <w:t>】</w:t>
            </w:r>
          </w:p>
          <w:p w:rsidR="00D36B26" w:rsidRDefault="00E81604" w:rsidP="00E81604">
            <w:pPr>
              <w:spacing w:line="480" w:lineRule="exact"/>
              <w:jc w:val="center"/>
              <w:rPr>
                <w:rFonts w:eastAsia="標楷體" w:hint="eastAsia"/>
                <w:sz w:val="28"/>
              </w:rPr>
            </w:pPr>
            <w:r>
              <w:rPr>
                <w:rFonts w:eastAsia="標楷體" w:hint="eastAsia"/>
                <w:sz w:val="28"/>
              </w:rPr>
              <w:t>10</w:t>
            </w:r>
            <w:r w:rsidR="0057336C">
              <w:rPr>
                <w:rFonts w:eastAsia="標楷體" w:hint="eastAsia"/>
                <w:sz w:val="28"/>
              </w:rPr>
              <w:t>6</w:t>
            </w:r>
            <w:r>
              <w:rPr>
                <w:rFonts w:eastAsia="標楷體" w:hint="eastAsia"/>
                <w:sz w:val="28"/>
              </w:rPr>
              <w:t>年版「</w:t>
            </w:r>
            <w:r w:rsidR="00575C80">
              <w:rPr>
                <w:rFonts w:eastAsia="標楷體" w:hint="eastAsia"/>
                <w:sz w:val="28"/>
              </w:rPr>
              <w:t>投信投顧相關法規</w:t>
            </w:r>
            <w:proofErr w:type="gramStart"/>
            <w:r w:rsidR="00DF1190">
              <w:rPr>
                <w:rFonts w:eastAsia="標楷體"/>
                <w:sz w:val="28"/>
              </w:rPr>
              <w:t>—</w:t>
            </w:r>
            <w:proofErr w:type="gramEnd"/>
            <w:r w:rsidR="00DF1190">
              <w:rPr>
                <w:rFonts w:eastAsia="標楷體" w:hint="eastAsia"/>
                <w:sz w:val="28"/>
              </w:rPr>
              <w:t>含自律規範</w:t>
            </w:r>
            <w:r w:rsidR="00D36B26">
              <w:rPr>
                <w:rFonts w:eastAsia="標楷體" w:hint="eastAsia"/>
                <w:sz w:val="28"/>
              </w:rPr>
              <w:t>」</w:t>
            </w:r>
          </w:p>
          <w:p w:rsidR="00D36B26" w:rsidRDefault="0057005A" w:rsidP="00C614C1">
            <w:pPr>
              <w:snapToGrid w:val="0"/>
              <w:spacing w:line="480" w:lineRule="exact"/>
              <w:jc w:val="center"/>
              <w:rPr>
                <w:rFonts w:eastAsia="標楷體"/>
                <w:b/>
              </w:rPr>
            </w:pPr>
            <w:r w:rsidRPr="0057005A">
              <w:rPr>
                <w:rFonts w:eastAsia="標楷體" w:hint="eastAsia"/>
                <w:b/>
                <w:sz w:val="28"/>
              </w:rPr>
              <w:t>題庫叢書法規及試題修訂表</w:t>
            </w:r>
            <w:r w:rsidR="00D36B26">
              <w:rPr>
                <w:rFonts w:eastAsia="標楷體" w:hint="eastAsia"/>
                <w:b/>
              </w:rPr>
              <w:t>(</w:t>
            </w:r>
            <w:r w:rsidR="00FF18AE">
              <w:rPr>
                <w:rFonts w:eastAsia="標楷體" w:hint="eastAsia"/>
                <w:b/>
              </w:rPr>
              <w:t>至</w:t>
            </w:r>
            <w:r w:rsidR="00FF18AE">
              <w:rPr>
                <w:rFonts w:eastAsia="標楷體" w:hint="eastAsia"/>
                <w:b/>
              </w:rPr>
              <w:t>10</w:t>
            </w:r>
            <w:r w:rsidR="0057336C">
              <w:rPr>
                <w:rFonts w:eastAsia="標楷體" w:hint="eastAsia"/>
                <w:b/>
              </w:rPr>
              <w:t>6</w:t>
            </w:r>
            <w:r w:rsidR="00FF18AE">
              <w:rPr>
                <w:rFonts w:eastAsia="標楷體" w:hint="eastAsia"/>
                <w:b/>
              </w:rPr>
              <w:t>年</w:t>
            </w:r>
            <w:r w:rsidR="00C614C1">
              <w:rPr>
                <w:rFonts w:eastAsia="標楷體" w:hint="eastAsia"/>
                <w:b/>
              </w:rPr>
              <w:t>9</w:t>
            </w:r>
            <w:r w:rsidR="00FF18AE">
              <w:rPr>
                <w:rFonts w:eastAsia="標楷體" w:hint="eastAsia"/>
                <w:b/>
              </w:rPr>
              <w:t>月</w:t>
            </w:r>
            <w:r w:rsidR="00DC3AFA">
              <w:rPr>
                <w:rFonts w:eastAsia="標楷體" w:hint="eastAsia"/>
                <w:b/>
              </w:rPr>
              <w:t>30</w:t>
            </w:r>
            <w:r w:rsidR="00FF18AE">
              <w:rPr>
                <w:rFonts w:eastAsia="標楷體" w:hint="eastAsia"/>
                <w:b/>
              </w:rPr>
              <w:t>日止</w:t>
            </w:r>
            <w:r w:rsidR="00D36B26">
              <w:rPr>
                <w:rFonts w:eastAsia="標楷體" w:hint="eastAsia"/>
                <w:b/>
              </w:rPr>
              <w:t>)</w:t>
            </w:r>
          </w:p>
        </w:tc>
      </w:tr>
      <w:tr w:rsidR="00C1300F" w:rsidTr="00A27051">
        <w:tblPrEx>
          <w:tblCellMar>
            <w:top w:w="0" w:type="dxa"/>
            <w:bottom w:w="0" w:type="dxa"/>
          </w:tblCellMar>
        </w:tblPrEx>
        <w:trPr>
          <w:trHeight w:val="433"/>
        </w:trPr>
        <w:tc>
          <w:tcPr>
            <w:tcW w:w="720" w:type="dxa"/>
            <w:vAlign w:val="center"/>
          </w:tcPr>
          <w:p w:rsidR="00C1300F" w:rsidRDefault="00C1300F" w:rsidP="00145981">
            <w:pPr>
              <w:snapToGrid w:val="0"/>
              <w:jc w:val="center"/>
              <w:rPr>
                <w:rFonts w:eastAsia="標楷體"/>
              </w:rPr>
            </w:pPr>
            <w:r>
              <w:rPr>
                <w:rFonts w:eastAsia="標楷體" w:hint="eastAsia"/>
              </w:rPr>
              <w:t>序號</w:t>
            </w:r>
          </w:p>
        </w:tc>
        <w:tc>
          <w:tcPr>
            <w:tcW w:w="851" w:type="dxa"/>
            <w:vAlign w:val="center"/>
          </w:tcPr>
          <w:p w:rsidR="00C1300F" w:rsidRDefault="00C1300F" w:rsidP="00145981">
            <w:pPr>
              <w:snapToGrid w:val="0"/>
              <w:jc w:val="center"/>
              <w:rPr>
                <w:rFonts w:eastAsia="標楷體"/>
              </w:rPr>
            </w:pPr>
            <w:r>
              <w:rPr>
                <w:rFonts w:eastAsia="標楷體" w:hint="eastAsia"/>
              </w:rPr>
              <w:t>頁數</w:t>
            </w:r>
          </w:p>
        </w:tc>
        <w:tc>
          <w:tcPr>
            <w:tcW w:w="589" w:type="dxa"/>
            <w:vAlign w:val="center"/>
          </w:tcPr>
          <w:p w:rsidR="00C1300F" w:rsidRDefault="00C1300F" w:rsidP="00145981">
            <w:pPr>
              <w:snapToGrid w:val="0"/>
              <w:jc w:val="center"/>
              <w:rPr>
                <w:rFonts w:eastAsia="標楷體"/>
              </w:rPr>
            </w:pPr>
            <w:r>
              <w:rPr>
                <w:rFonts w:eastAsia="標楷體" w:hint="eastAsia"/>
              </w:rPr>
              <w:t>題號</w:t>
            </w:r>
          </w:p>
        </w:tc>
        <w:tc>
          <w:tcPr>
            <w:tcW w:w="7632" w:type="dxa"/>
            <w:vAlign w:val="center"/>
          </w:tcPr>
          <w:p w:rsidR="00C1300F" w:rsidRDefault="00AF79EA" w:rsidP="00145981">
            <w:pPr>
              <w:snapToGrid w:val="0"/>
              <w:jc w:val="center"/>
              <w:rPr>
                <w:rFonts w:eastAsia="標楷體"/>
              </w:rPr>
            </w:pPr>
            <w:r>
              <w:rPr>
                <w:rFonts w:eastAsia="標楷體" w:hint="eastAsia"/>
              </w:rPr>
              <w:t>修正</w:t>
            </w:r>
            <w:r w:rsidR="00C1300F">
              <w:rPr>
                <w:rFonts w:eastAsia="標楷體" w:hint="eastAsia"/>
              </w:rPr>
              <w:t>內容</w:t>
            </w:r>
          </w:p>
        </w:tc>
      </w:tr>
      <w:tr w:rsidR="00451249" w:rsidTr="00A27051">
        <w:tblPrEx>
          <w:tblCellMar>
            <w:top w:w="0" w:type="dxa"/>
            <w:bottom w:w="0" w:type="dxa"/>
          </w:tblCellMar>
        </w:tblPrEx>
        <w:trPr>
          <w:trHeight w:val="511"/>
        </w:trPr>
        <w:tc>
          <w:tcPr>
            <w:tcW w:w="720" w:type="dxa"/>
            <w:vAlign w:val="center"/>
          </w:tcPr>
          <w:p w:rsidR="00451249" w:rsidRPr="009A3ED6" w:rsidRDefault="00451249" w:rsidP="0089006B">
            <w:pPr>
              <w:snapToGrid w:val="0"/>
              <w:spacing w:line="240" w:lineRule="atLeast"/>
              <w:jc w:val="center"/>
              <w:rPr>
                <w:rFonts w:eastAsia="標楷體" w:hint="eastAsia"/>
              </w:rPr>
            </w:pPr>
            <w:r>
              <w:rPr>
                <w:rFonts w:eastAsia="標楷體" w:hint="eastAsia"/>
              </w:rPr>
              <w:t>1</w:t>
            </w:r>
          </w:p>
        </w:tc>
        <w:tc>
          <w:tcPr>
            <w:tcW w:w="851" w:type="dxa"/>
            <w:vAlign w:val="center"/>
          </w:tcPr>
          <w:p w:rsidR="00451249" w:rsidRDefault="00A27051" w:rsidP="00B3723F">
            <w:pPr>
              <w:snapToGrid w:val="0"/>
              <w:spacing w:line="240" w:lineRule="atLeast"/>
              <w:jc w:val="center"/>
              <w:rPr>
                <w:rFonts w:eastAsia="標楷體" w:hint="eastAsia"/>
              </w:rPr>
            </w:pPr>
            <w:r>
              <w:rPr>
                <w:rFonts w:eastAsia="標楷體" w:hint="eastAsia"/>
              </w:rPr>
              <w:t>第二章</w:t>
            </w:r>
          </w:p>
        </w:tc>
        <w:tc>
          <w:tcPr>
            <w:tcW w:w="589" w:type="dxa"/>
            <w:vAlign w:val="center"/>
          </w:tcPr>
          <w:p w:rsidR="00451249" w:rsidRDefault="00A27051" w:rsidP="00B3723F">
            <w:pPr>
              <w:snapToGrid w:val="0"/>
              <w:spacing w:line="240" w:lineRule="atLeast"/>
              <w:jc w:val="center"/>
              <w:rPr>
                <w:rFonts w:eastAsia="標楷體" w:hint="eastAsia"/>
              </w:rPr>
            </w:pPr>
            <w:r>
              <w:rPr>
                <w:rFonts w:eastAsia="標楷體" w:hint="eastAsia"/>
              </w:rPr>
              <w:t>新增</w:t>
            </w:r>
          </w:p>
        </w:tc>
        <w:tc>
          <w:tcPr>
            <w:tcW w:w="7632" w:type="dxa"/>
            <w:vAlign w:val="center"/>
          </w:tcPr>
          <w:p w:rsidR="0063615A" w:rsidRPr="002E0B85" w:rsidRDefault="00113C14" w:rsidP="0063615A">
            <w:pPr>
              <w:snapToGrid w:val="0"/>
              <w:spacing w:line="360" w:lineRule="exact"/>
              <w:ind w:left="658" w:hangingChars="274" w:hanging="658"/>
              <w:rPr>
                <w:rFonts w:eastAsia="標楷體" w:hint="eastAsia"/>
                <w:color w:val="FF0000"/>
              </w:rPr>
            </w:pPr>
            <w:r>
              <w:rPr>
                <w:rFonts w:ascii="標楷體" w:eastAsia="標楷體" w:hAnsi="標楷體" w:hint="eastAsia"/>
                <w:color w:val="FF0000"/>
              </w:rPr>
              <w:t>題目:</w:t>
            </w:r>
            <w:r w:rsidR="0063615A" w:rsidRPr="002E0B85">
              <w:rPr>
                <w:rFonts w:eastAsia="標楷體"/>
                <w:color w:val="FF0000"/>
              </w:rPr>
              <w:t>下列何者為「多重資產型基金」得投資之資產項目？</w:t>
            </w:r>
            <w:r w:rsidR="0063615A" w:rsidRPr="002E0B85">
              <w:rPr>
                <w:rFonts w:eastAsia="標楷體"/>
                <w:color w:val="FF0000"/>
              </w:rPr>
              <w:t>A.</w:t>
            </w:r>
            <w:r w:rsidR="0063615A" w:rsidRPr="002E0B85">
              <w:rPr>
                <w:rFonts w:eastAsia="標楷體"/>
                <w:color w:val="FF0000"/>
              </w:rPr>
              <w:t>股票</w:t>
            </w:r>
            <w:r w:rsidR="0063615A" w:rsidRPr="002E0B85">
              <w:rPr>
                <w:rFonts w:eastAsia="標楷體"/>
                <w:color w:val="FF0000"/>
              </w:rPr>
              <w:t xml:space="preserve"> B.</w:t>
            </w:r>
            <w:r w:rsidR="0063615A" w:rsidRPr="002E0B85">
              <w:rPr>
                <w:rFonts w:eastAsia="標楷體"/>
                <w:color w:val="FF0000"/>
              </w:rPr>
              <w:t>債券</w:t>
            </w:r>
            <w:r w:rsidR="0063615A" w:rsidRPr="002E0B85">
              <w:rPr>
                <w:rFonts w:eastAsia="標楷體"/>
                <w:color w:val="FF0000"/>
              </w:rPr>
              <w:t xml:space="preserve"> C.</w:t>
            </w:r>
            <w:r w:rsidR="0063615A" w:rsidRPr="002E0B85">
              <w:rPr>
                <w:rFonts w:eastAsia="標楷體"/>
                <w:color w:val="FF0000"/>
              </w:rPr>
              <w:t>基金受益憑證</w:t>
            </w:r>
            <w:r w:rsidR="0063615A" w:rsidRPr="002E0B85">
              <w:rPr>
                <w:rFonts w:eastAsia="標楷體"/>
                <w:color w:val="FF0000"/>
              </w:rPr>
              <w:t xml:space="preserve"> D.</w:t>
            </w:r>
            <w:r w:rsidR="0063615A" w:rsidRPr="002E0B85">
              <w:rPr>
                <w:rFonts w:eastAsia="標楷體"/>
                <w:color w:val="FF0000"/>
              </w:rPr>
              <w:t>不動產投資信託基金受益證券</w:t>
            </w:r>
            <w:r w:rsidR="0063615A" w:rsidRPr="002E0B85">
              <w:rPr>
                <w:rFonts w:eastAsia="標楷體"/>
                <w:color w:val="FF0000"/>
              </w:rPr>
              <w:t>(REITs)</w:t>
            </w:r>
          </w:p>
          <w:p w:rsidR="00C74E43" w:rsidRPr="002E0B85" w:rsidRDefault="0063615A" w:rsidP="0063615A">
            <w:pPr>
              <w:snapToGrid w:val="0"/>
              <w:spacing w:line="360" w:lineRule="exact"/>
              <w:ind w:left="708" w:hangingChars="295" w:hanging="708"/>
              <w:rPr>
                <w:rFonts w:eastAsia="標楷體" w:hint="eastAsia"/>
                <w:color w:val="FF0000"/>
              </w:rPr>
            </w:pPr>
            <w:r w:rsidRPr="002E0B85">
              <w:rPr>
                <w:rFonts w:eastAsia="標楷體" w:hint="eastAsia"/>
                <w:color w:val="FF0000"/>
              </w:rPr>
              <w:t xml:space="preserve">      </w:t>
            </w:r>
            <w:r w:rsidRPr="002E0B85">
              <w:rPr>
                <w:rFonts w:eastAsia="標楷體"/>
                <w:color w:val="FF0000"/>
              </w:rPr>
              <w:t>(1)</w:t>
            </w:r>
            <w:r w:rsidRPr="002E0B85">
              <w:rPr>
                <w:rFonts w:eastAsia="標楷體"/>
                <w:color w:val="FF0000"/>
              </w:rPr>
              <w:t>僅</w:t>
            </w:r>
            <w:r w:rsidRPr="002E0B85">
              <w:rPr>
                <w:rFonts w:eastAsia="標楷體"/>
                <w:color w:val="FF0000"/>
              </w:rPr>
              <w:t>A</w:t>
            </w:r>
            <w:r w:rsidRPr="002E0B85">
              <w:rPr>
                <w:rFonts w:eastAsia="標楷體"/>
                <w:color w:val="FF0000"/>
              </w:rPr>
              <w:t>、</w:t>
            </w:r>
            <w:r w:rsidRPr="002E0B85">
              <w:rPr>
                <w:rFonts w:eastAsia="標楷體"/>
                <w:color w:val="FF0000"/>
              </w:rPr>
              <w:t>C   (2)</w:t>
            </w:r>
            <w:r w:rsidRPr="002E0B85">
              <w:rPr>
                <w:rFonts w:eastAsia="標楷體"/>
                <w:color w:val="FF0000"/>
              </w:rPr>
              <w:t>僅</w:t>
            </w:r>
            <w:r w:rsidRPr="002E0B85">
              <w:rPr>
                <w:rFonts w:eastAsia="標楷體"/>
                <w:color w:val="FF0000"/>
              </w:rPr>
              <w:t>B</w:t>
            </w:r>
            <w:r w:rsidRPr="002E0B85">
              <w:rPr>
                <w:rFonts w:eastAsia="標楷體"/>
                <w:color w:val="FF0000"/>
              </w:rPr>
              <w:t>、</w:t>
            </w:r>
            <w:r w:rsidRPr="002E0B85">
              <w:rPr>
                <w:rFonts w:eastAsia="標楷體"/>
                <w:color w:val="FF0000"/>
              </w:rPr>
              <w:t>D   (3)</w:t>
            </w:r>
            <w:r w:rsidRPr="002E0B85">
              <w:rPr>
                <w:rFonts w:eastAsia="標楷體"/>
                <w:color w:val="FF0000"/>
              </w:rPr>
              <w:t>僅</w:t>
            </w:r>
            <w:r w:rsidRPr="002E0B85">
              <w:rPr>
                <w:rFonts w:eastAsia="標楷體"/>
                <w:color w:val="FF0000"/>
              </w:rPr>
              <w:t>A</w:t>
            </w:r>
            <w:r w:rsidRPr="002E0B85">
              <w:rPr>
                <w:rFonts w:eastAsia="標楷體"/>
                <w:color w:val="FF0000"/>
              </w:rPr>
              <w:t>、</w:t>
            </w:r>
            <w:r w:rsidRPr="002E0B85">
              <w:rPr>
                <w:rFonts w:eastAsia="標楷體"/>
                <w:color w:val="FF0000"/>
              </w:rPr>
              <w:t>C</w:t>
            </w:r>
            <w:r w:rsidRPr="002E0B85">
              <w:rPr>
                <w:rFonts w:eastAsia="標楷體"/>
                <w:color w:val="FF0000"/>
              </w:rPr>
              <w:t>、</w:t>
            </w:r>
            <w:r w:rsidRPr="002E0B85">
              <w:rPr>
                <w:rFonts w:eastAsia="標楷體"/>
                <w:color w:val="FF0000"/>
              </w:rPr>
              <w:t xml:space="preserve">D   </w:t>
            </w:r>
          </w:p>
          <w:p w:rsidR="0063615A" w:rsidRDefault="00C74E43" w:rsidP="0063615A">
            <w:pPr>
              <w:snapToGrid w:val="0"/>
              <w:spacing w:line="360" w:lineRule="exact"/>
              <w:ind w:left="708" w:hangingChars="295" w:hanging="708"/>
              <w:rPr>
                <w:rFonts w:eastAsia="標楷體" w:hint="eastAsia"/>
                <w:color w:val="FF0000"/>
              </w:rPr>
            </w:pPr>
            <w:r w:rsidRPr="002E0B85">
              <w:rPr>
                <w:rFonts w:eastAsia="標楷體" w:hint="eastAsia"/>
                <w:color w:val="FF0000"/>
              </w:rPr>
              <w:t xml:space="preserve">      </w:t>
            </w:r>
            <w:r w:rsidR="0063615A" w:rsidRPr="002E0B85">
              <w:rPr>
                <w:rFonts w:eastAsia="標楷體"/>
                <w:color w:val="FF0000"/>
              </w:rPr>
              <w:t>(4)A</w:t>
            </w:r>
            <w:r w:rsidR="0063615A" w:rsidRPr="002E0B85">
              <w:rPr>
                <w:rFonts w:eastAsia="標楷體"/>
                <w:color w:val="FF0000"/>
              </w:rPr>
              <w:t>、</w:t>
            </w:r>
            <w:r w:rsidR="0063615A" w:rsidRPr="002E0B85">
              <w:rPr>
                <w:rFonts w:eastAsia="標楷體"/>
                <w:color w:val="FF0000"/>
              </w:rPr>
              <w:t>B</w:t>
            </w:r>
            <w:r w:rsidR="0063615A" w:rsidRPr="002E0B85">
              <w:rPr>
                <w:rFonts w:eastAsia="標楷體"/>
                <w:color w:val="FF0000"/>
              </w:rPr>
              <w:t>、</w:t>
            </w:r>
            <w:r w:rsidR="0063615A" w:rsidRPr="002E0B85">
              <w:rPr>
                <w:rFonts w:eastAsia="標楷體"/>
                <w:color w:val="FF0000"/>
              </w:rPr>
              <w:t>C</w:t>
            </w:r>
            <w:r w:rsidR="0063615A" w:rsidRPr="002E0B85">
              <w:rPr>
                <w:rFonts w:eastAsia="標楷體"/>
                <w:color w:val="FF0000"/>
              </w:rPr>
              <w:t>、</w:t>
            </w:r>
            <w:r w:rsidR="0063615A" w:rsidRPr="002E0B85">
              <w:rPr>
                <w:rFonts w:eastAsia="標楷體"/>
                <w:color w:val="FF0000"/>
              </w:rPr>
              <w:t>D</w:t>
            </w:r>
            <w:r w:rsidR="0063615A" w:rsidRPr="002E0B85">
              <w:rPr>
                <w:rFonts w:eastAsia="標楷體"/>
                <w:color w:val="FF0000"/>
              </w:rPr>
              <w:t>皆可</w:t>
            </w:r>
          </w:p>
          <w:p w:rsidR="00113C14" w:rsidRPr="00113C14" w:rsidRDefault="00113C14" w:rsidP="00113C14">
            <w:pPr>
              <w:snapToGrid w:val="0"/>
              <w:jc w:val="both"/>
              <w:rPr>
                <w:rFonts w:eastAsia="標楷體"/>
                <w:color w:val="FF0000"/>
              </w:rPr>
            </w:pPr>
            <w:r w:rsidRPr="00763D52">
              <w:rPr>
                <w:rFonts w:eastAsia="標楷體" w:hint="eastAsia"/>
                <w:color w:val="FF0000"/>
              </w:rPr>
              <w:t>解答：</w:t>
            </w:r>
            <w:r w:rsidRPr="00763D52">
              <w:rPr>
                <w:rFonts w:eastAsia="標楷體" w:hint="eastAsia"/>
                <w:color w:val="FF0000"/>
              </w:rPr>
              <w:t>(</w:t>
            </w:r>
            <w:r>
              <w:rPr>
                <w:rFonts w:eastAsia="標楷體" w:hint="eastAsia"/>
                <w:color w:val="FF0000"/>
              </w:rPr>
              <w:t>4</w:t>
            </w:r>
            <w:r w:rsidRPr="00763D52">
              <w:rPr>
                <w:rFonts w:eastAsia="標楷體" w:hint="eastAsia"/>
                <w:color w:val="FF0000"/>
              </w:rPr>
              <w:t>)</w:t>
            </w:r>
          </w:p>
          <w:p w:rsidR="00AF79EA" w:rsidRPr="002E0B85" w:rsidRDefault="0063615A" w:rsidP="0063615A">
            <w:pPr>
              <w:snapToGrid w:val="0"/>
              <w:spacing w:line="360" w:lineRule="exact"/>
              <w:ind w:left="658" w:hangingChars="274" w:hanging="658"/>
              <w:rPr>
                <w:rFonts w:eastAsia="標楷體" w:hint="eastAsia"/>
                <w:bCs/>
                <w:color w:val="FF0000"/>
              </w:rPr>
            </w:pPr>
            <w:r w:rsidRPr="002E0B85">
              <w:rPr>
                <w:rFonts w:eastAsia="標楷體"/>
                <w:color w:val="FF0000"/>
              </w:rPr>
              <w:t>解析：依「證券投資信託基金管理辦法」第</w:t>
            </w:r>
            <w:r w:rsidRPr="002E0B85">
              <w:rPr>
                <w:rFonts w:eastAsia="標楷體"/>
                <w:color w:val="FF0000"/>
              </w:rPr>
              <w:t>31</w:t>
            </w:r>
            <w:r w:rsidRPr="002E0B85">
              <w:rPr>
                <w:rFonts w:eastAsia="標楷體"/>
                <w:color w:val="FF0000"/>
              </w:rPr>
              <w:t>條之</w:t>
            </w:r>
            <w:r w:rsidRPr="002E0B85">
              <w:rPr>
                <w:rFonts w:eastAsia="標楷體"/>
                <w:color w:val="FF0000"/>
              </w:rPr>
              <w:t>1</w:t>
            </w:r>
            <w:r w:rsidRPr="002E0B85">
              <w:rPr>
                <w:rFonts w:eastAsia="標楷體"/>
                <w:color w:val="FF0000"/>
              </w:rPr>
              <w:t>第</w:t>
            </w:r>
            <w:r w:rsidRPr="002E0B85">
              <w:rPr>
                <w:rFonts w:eastAsia="標楷體"/>
                <w:color w:val="FF0000"/>
              </w:rPr>
              <w:t>1</w:t>
            </w:r>
            <w:r w:rsidRPr="002E0B85">
              <w:rPr>
                <w:rFonts w:eastAsia="標楷體"/>
                <w:color w:val="FF0000"/>
              </w:rPr>
              <w:t>項前段，多重資產型基金指得同時投資於股票、債券（包含其他固定收益證券）、基金受益憑證、不動產投資信託基金受益證券及經金管會核准得投資項目等資產種類。</w:t>
            </w:r>
          </w:p>
        </w:tc>
      </w:tr>
      <w:tr w:rsidR="00451249" w:rsidTr="00A27051">
        <w:tblPrEx>
          <w:tblCellMar>
            <w:top w:w="0" w:type="dxa"/>
            <w:bottom w:w="0" w:type="dxa"/>
          </w:tblCellMar>
        </w:tblPrEx>
        <w:trPr>
          <w:trHeight w:val="511"/>
        </w:trPr>
        <w:tc>
          <w:tcPr>
            <w:tcW w:w="720" w:type="dxa"/>
            <w:vAlign w:val="center"/>
          </w:tcPr>
          <w:p w:rsidR="00451249" w:rsidRDefault="00FE6A39" w:rsidP="0089006B">
            <w:pPr>
              <w:snapToGrid w:val="0"/>
              <w:spacing w:line="240" w:lineRule="atLeast"/>
              <w:jc w:val="center"/>
              <w:rPr>
                <w:rFonts w:eastAsia="標楷體" w:hint="eastAsia"/>
              </w:rPr>
            </w:pPr>
            <w:r>
              <w:rPr>
                <w:rFonts w:eastAsia="標楷體" w:hint="eastAsia"/>
              </w:rPr>
              <w:t>2</w:t>
            </w:r>
          </w:p>
        </w:tc>
        <w:tc>
          <w:tcPr>
            <w:tcW w:w="851" w:type="dxa"/>
            <w:vAlign w:val="center"/>
          </w:tcPr>
          <w:p w:rsidR="00451249" w:rsidRPr="009A3ED6" w:rsidRDefault="0063615A" w:rsidP="00B3723F">
            <w:pPr>
              <w:snapToGrid w:val="0"/>
              <w:spacing w:line="240" w:lineRule="atLeast"/>
              <w:jc w:val="center"/>
              <w:rPr>
                <w:rFonts w:eastAsia="標楷體" w:hint="eastAsia"/>
              </w:rPr>
            </w:pPr>
            <w:r>
              <w:rPr>
                <w:rFonts w:eastAsia="標楷體" w:hint="eastAsia"/>
              </w:rPr>
              <w:t>第二章</w:t>
            </w:r>
          </w:p>
        </w:tc>
        <w:tc>
          <w:tcPr>
            <w:tcW w:w="589" w:type="dxa"/>
            <w:vAlign w:val="center"/>
          </w:tcPr>
          <w:p w:rsidR="00451249" w:rsidRPr="009A3ED6" w:rsidRDefault="0063615A" w:rsidP="00B3723F">
            <w:pPr>
              <w:snapToGrid w:val="0"/>
              <w:spacing w:line="240" w:lineRule="atLeast"/>
              <w:jc w:val="center"/>
              <w:rPr>
                <w:rFonts w:eastAsia="標楷體" w:hint="eastAsia"/>
              </w:rPr>
            </w:pPr>
            <w:r>
              <w:rPr>
                <w:rFonts w:eastAsia="標楷體" w:hint="eastAsia"/>
              </w:rPr>
              <w:t>新增</w:t>
            </w:r>
          </w:p>
        </w:tc>
        <w:tc>
          <w:tcPr>
            <w:tcW w:w="7632" w:type="dxa"/>
            <w:vAlign w:val="center"/>
          </w:tcPr>
          <w:p w:rsidR="0063615A" w:rsidRPr="002E0B85" w:rsidRDefault="00113C14" w:rsidP="0063615A">
            <w:pPr>
              <w:snapToGrid w:val="0"/>
              <w:spacing w:line="360" w:lineRule="exact"/>
              <w:ind w:left="708" w:hangingChars="295" w:hanging="708"/>
              <w:rPr>
                <w:rFonts w:eastAsia="標楷體"/>
                <w:color w:val="FF0000"/>
              </w:rPr>
            </w:pPr>
            <w:r>
              <w:rPr>
                <w:rFonts w:ascii="標楷體" w:eastAsia="標楷體" w:hAnsi="標楷體" w:hint="eastAsia"/>
                <w:color w:val="FF0000"/>
              </w:rPr>
              <w:t>題目:</w:t>
            </w:r>
            <w:r w:rsidR="0063615A" w:rsidRPr="002E0B85">
              <w:rPr>
                <w:rFonts w:eastAsia="標楷體"/>
                <w:color w:val="FF0000"/>
              </w:rPr>
              <w:t>「多重資產型基金」投資於股票、債券、基金受益憑證等任</w:t>
            </w:r>
            <w:proofErr w:type="gramStart"/>
            <w:r w:rsidR="0063615A" w:rsidRPr="002E0B85">
              <w:rPr>
                <w:rFonts w:eastAsia="標楷體"/>
                <w:color w:val="FF0000"/>
              </w:rPr>
              <w:t>一</w:t>
            </w:r>
            <w:proofErr w:type="gramEnd"/>
            <w:r w:rsidR="0063615A" w:rsidRPr="002E0B85">
              <w:rPr>
                <w:rFonts w:eastAsia="標楷體"/>
                <w:color w:val="FF0000"/>
              </w:rPr>
              <w:t>資產之總金額不得超過本基金淨資產價值之多少比例？</w:t>
            </w:r>
          </w:p>
          <w:p w:rsidR="0063615A" w:rsidRDefault="0063615A" w:rsidP="0063615A">
            <w:pPr>
              <w:snapToGrid w:val="0"/>
              <w:spacing w:line="360" w:lineRule="exact"/>
              <w:ind w:leftChars="295" w:left="708" w:firstLine="1"/>
              <w:rPr>
                <w:rFonts w:eastAsia="標楷體" w:hint="eastAsia"/>
                <w:color w:val="FF0000"/>
              </w:rPr>
            </w:pPr>
            <w:r w:rsidRPr="002E0B85">
              <w:rPr>
                <w:rFonts w:eastAsia="標楷體"/>
                <w:color w:val="FF0000"/>
              </w:rPr>
              <w:t>(1)70%   (2)50%   (3)40%   (4)30%</w:t>
            </w:r>
          </w:p>
          <w:p w:rsidR="00113C14" w:rsidRPr="00113C14" w:rsidRDefault="00113C14" w:rsidP="00113C14">
            <w:pPr>
              <w:snapToGrid w:val="0"/>
              <w:jc w:val="both"/>
              <w:rPr>
                <w:rFonts w:eastAsia="標楷體"/>
                <w:color w:val="FF0000"/>
              </w:rPr>
            </w:pPr>
            <w:r w:rsidRPr="00763D52">
              <w:rPr>
                <w:rFonts w:eastAsia="標楷體" w:hint="eastAsia"/>
                <w:color w:val="FF0000"/>
              </w:rPr>
              <w:t>解答：</w:t>
            </w:r>
            <w:r w:rsidRPr="00763D52">
              <w:rPr>
                <w:rFonts w:eastAsia="標楷體" w:hint="eastAsia"/>
                <w:color w:val="FF0000"/>
              </w:rPr>
              <w:t>(1)</w:t>
            </w:r>
          </w:p>
          <w:p w:rsidR="00451249" w:rsidRPr="002E0B85" w:rsidRDefault="0063615A" w:rsidP="0063615A">
            <w:pPr>
              <w:snapToGrid w:val="0"/>
              <w:spacing w:line="360" w:lineRule="exact"/>
              <w:ind w:left="658" w:hangingChars="274" w:hanging="658"/>
              <w:rPr>
                <w:rFonts w:eastAsia="標楷體" w:hint="eastAsia"/>
                <w:color w:val="FF0000"/>
                <w:sz w:val="22"/>
                <w:szCs w:val="22"/>
              </w:rPr>
            </w:pPr>
            <w:r w:rsidRPr="002E0B85">
              <w:rPr>
                <w:rFonts w:eastAsia="標楷體"/>
                <w:color w:val="FF0000"/>
              </w:rPr>
              <w:t>解析：依「證券投資信託基金管理辦法」第</w:t>
            </w:r>
            <w:r w:rsidRPr="002E0B85">
              <w:rPr>
                <w:rFonts w:eastAsia="標楷體"/>
                <w:color w:val="FF0000"/>
              </w:rPr>
              <w:t>31</w:t>
            </w:r>
            <w:r w:rsidRPr="002E0B85">
              <w:rPr>
                <w:rFonts w:eastAsia="標楷體"/>
                <w:color w:val="FF0000"/>
              </w:rPr>
              <w:t>條之</w:t>
            </w:r>
            <w:r w:rsidRPr="002E0B85">
              <w:rPr>
                <w:rFonts w:eastAsia="標楷體"/>
                <w:color w:val="FF0000"/>
              </w:rPr>
              <w:t>1</w:t>
            </w:r>
            <w:r w:rsidRPr="002E0B85">
              <w:rPr>
                <w:rFonts w:eastAsia="標楷體"/>
                <w:color w:val="FF0000"/>
              </w:rPr>
              <w:t>第</w:t>
            </w:r>
            <w:r w:rsidRPr="002E0B85">
              <w:rPr>
                <w:rFonts w:eastAsia="標楷體"/>
                <w:color w:val="FF0000"/>
              </w:rPr>
              <w:t>1</w:t>
            </w:r>
            <w:r w:rsidRPr="002E0B85">
              <w:rPr>
                <w:rFonts w:eastAsia="標楷體"/>
                <w:color w:val="FF0000"/>
              </w:rPr>
              <w:t>項及第</w:t>
            </w:r>
            <w:r w:rsidRPr="002E0B85">
              <w:rPr>
                <w:rFonts w:eastAsia="標楷體"/>
                <w:color w:val="FF0000"/>
              </w:rPr>
              <w:t>3</w:t>
            </w:r>
            <w:r w:rsidRPr="002E0B85">
              <w:rPr>
                <w:rFonts w:eastAsia="標楷體"/>
                <w:color w:val="FF0000"/>
              </w:rPr>
              <w:t>項規定，多重資產型基金指得同時投資於股票、債券（包含其他固定收益證券）、基金受益憑證、不動產投資信託基金受益證券及經金管會核准得投資項目等資產種類，且投資於前開任</w:t>
            </w:r>
            <w:proofErr w:type="gramStart"/>
            <w:r w:rsidRPr="002E0B85">
              <w:rPr>
                <w:rFonts w:eastAsia="標楷體"/>
                <w:color w:val="FF0000"/>
              </w:rPr>
              <w:t>一</w:t>
            </w:r>
            <w:proofErr w:type="gramEnd"/>
            <w:r w:rsidRPr="002E0B85">
              <w:rPr>
                <w:rFonts w:eastAsia="標楷體"/>
                <w:color w:val="FF0000"/>
              </w:rPr>
              <w:t>資產種類之總金額不得超過本基金淨資產價值之百分之七十。但金管會得視國內外證券市場及證券投資信託事業發展狀況調整前開比例。</w:t>
            </w:r>
          </w:p>
        </w:tc>
      </w:tr>
      <w:tr w:rsidR="00401B72" w:rsidTr="00A27051">
        <w:tblPrEx>
          <w:tblCellMar>
            <w:top w:w="0" w:type="dxa"/>
            <w:bottom w:w="0" w:type="dxa"/>
          </w:tblCellMar>
        </w:tblPrEx>
        <w:trPr>
          <w:trHeight w:val="511"/>
        </w:trPr>
        <w:tc>
          <w:tcPr>
            <w:tcW w:w="720" w:type="dxa"/>
            <w:vAlign w:val="center"/>
          </w:tcPr>
          <w:p w:rsidR="00401B72" w:rsidRPr="009A3ED6" w:rsidRDefault="00401B72" w:rsidP="004164BF">
            <w:pPr>
              <w:snapToGrid w:val="0"/>
              <w:spacing w:line="240" w:lineRule="atLeast"/>
              <w:jc w:val="center"/>
              <w:rPr>
                <w:rFonts w:eastAsia="標楷體" w:hint="eastAsia"/>
              </w:rPr>
            </w:pPr>
            <w:r>
              <w:rPr>
                <w:rFonts w:eastAsia="標楷體" w:hint="eastAsia"/>
              </w:rPr>
              <w:t>3</w:t>
            </w:r>
          </w:p>
        </w:tc>
        <w:tc>
          <w:tcPr>
            <w:tcW w:w="851" w:type="dxa"/>
            <w:vAlign w:val="center"/>
          </w:tcPr>
          <w:p w:rsidR="00401B72" w:rsidRDefault="0063615A" w:rsidP="00B3723F">
            <w:pPr>
              <w:snapToGrid w:val="0"/>
              <w:spacing w:line="240" w:lineRule="atLeast"/>
              <w:jc w:val="center"/>
              <w:rPr>
                <w:rFonts w:eastAsia="標楷體" w:hint="eastAsia"/>
              </w:rPr>
            </w:pPr>
            <w:r>
              <w:rPr>
                <w:rFonts w:eastAsia="標楷體" w:hint="eastAsia"/>
              </w:rPr>
              <w:t>第二章</w:t>
            </w:r>
          </w:p>
        </w:tc>
        <w:tc>
          <w:tcPr>
            <w:tcW w:w="589" w:type="dxa"/>
            <w:vAlign w:val="center"/>
          </w:tcPr>
          <w:p w:rsidR="00401B72" w:rsidRDefault="0063615A" w:rsidP="00B3723F">
            <w:pPr>
              <w:snapToGrid w:val="0"/>
              <w:spacing w:line="240" w:lineRule="atLeast"/>
              <w:jc w:val="center"/>
              <w:rPr>
                <w:rFonts w:eastAsia="標楷體" w:hint="eastAsia"/>
              </w:rPr>
            </w:pPr>
            <w:r>
              <w:rPr>
                <w:rFonts w:eastAsia="標楷體" w:hint="eastAsia"/>
              </w:rPr>
              <w:t>新增</w:t>
            </w:r>
          </w:p>
        </w:tc>
        <w:tc>
          <w:tcPr>
            <w:tcW w:w="7632" w:type="dxa"/>
            <w:vAlign w:val="center"/>
          </w:tcPr>
          <w:p w:rsidR="00C74E43" w:rsidRPr="002E0B85" w:rsidRDefault="00113C14" w:rsidP="00C74E43">
            <w:pPr>
              <w:snapToGrid w:val="0"/>
              <w:spacing w:line="360" w:lineRule="exact"/>
              <w:ind w:left="708" w:hangingChars="295" w:hanging="708"/>
              <w:rPr>
                <w:rFonts w:eastAsia="標楷體"/>
                <w:color w:val="FF0000"/>
              </w:rPr>
            </w:pPr>
            <w:r>
              <w:rPr>
                <w:rFonts w:ascii="標楷體" w:eastAsia="標楷體" w:hAnsi="標楷體" w:hint="eastAsia"/>
                <w:color w:val="FF0000"/>
              </w:rPr>
              <w:t>題目:</w:t>
            </w:r>
            <w:r w:rsidR="00C74E43" w:rsidRPr="002E0B85">
              <w:rPr>
                <w:rFonts w:eastAsia="標楷體"/>
                <w:color w:val="FF0000"/>
              </w:rPr>
              <w:t>因</w:t>
            </w:r>
            <w:r w:rsidR="00C74E43" w:rsidRPr="002E0B85">
              <w:rPr>
                <w:rFonts w:eastAsia="標楷體" w:hint="eastAsia"/>
                <w:color w:val="FF0000"/>
              </w:rPr>
              <w:t>應</w:t>
            </w:r>
            <w:r w:rsidR="00C74E43" w:rsidRPr="002E0B85">
              <w:rPr>
                <w:rFonts w:eastAsia="標楷體"/>
                <w:color w:val="FF0000"/>
              </w:rPr>
              <w:t>投資策略需要，投信事業運用「多重資產型基金」投資於基金受益憑證之總金額不得超過本基金淨資產價值之多少比例？</w:t>
            </w:r>
          </w:p>
          <w:p w:rsidR="00C74E43" w:rsidRDefault="00C74E43" w:rsidP="00C74E43">
            <w:pPr>
              <w:snapToGrid w:val="0"/>
              <w:spacing w:line="360" w:lineRule="exact"/>
              <w:ind w:leftChars="295" w:left="708" w:firstLine="1"/>
              <w:rPr>
                <w:rFonts w:eastAsia="標楷體" w:hint="eastAsia"/>
                <w:color w:val="FF0000"/>
              </w:rPr>
            </w:pPr>
            <w:r w:rsidRPr="002E0B85">
              <w:rPr>
                <w:rFonts w:eastAsia="標楷體"/>
                <w:color w:val="FF0000"/>
              </w:rPr>
              <w:t>(1)20%   (2)30%   (3)50%   (4)70%</w:t>
            </w:r>
          </w:p>
          <w:p w:rsidR="00113C14" w:rsidRPr="00113C14" w:rsidRDefault="00113C14" w:rsidP="00113C14">
            <w:pPr>
              <w:snapToGrid w:val="0"/>
              <w:jc w:val="both"/>
              <w:rPr>
                <w:rFonts w:eastAsia="標楷體"/>
                <w:color w:val="FF0000"/>
              </w:rPr>
            </w:pPr>
            <w:r w:rsidRPr="00763D52">
              <w:rPr>
                <w:rFonts w:eastAsia="標楷體" w:hint="eastAsia"/>
                <w:color w:val="FF0000"/>
              </w:rPr>
              <w:t>解答：</w:t>
            </w:r>
            <w:r w:rsidRPr="00763D52">
              <w:rPr>
                <w:rFonts w:eastAsia="標楷體" w:hint="eastAsia"/>
                <w:color w:val="FF0000"/>
              </w:rPr>
              <w:t>(</w:t>
            </w:r>
            <w:r>
              <w:rPr>
                <w:rFonts w:eastAsia="標楷體" w:hint="eastAsia"/>
                <w:color w:val="FF0000"/>
              </w:rPr>
              <w:t>4</w:t>
            </w:r>
            <w:r w:rsidRPr="00763D52">
              <w:rPr>
                <w:rFonts w:eastAsia="標楷體" w:hint="eastAsia"/>
                <w:color w:val="FF0000"/>
              </w:rPr>
              <w:t>)</w:t>
            </w:r>
          </w:p>
          <w:p w:rsidR="00401B72" w:rsidRPr="002E0B85" w:rsidRDefault="00C74E43" w:rsidP="00C74E43">
            <w:pPr>
              <w:snapToGrid w:val="0"/>
              <w:spacing w:line="360" w:lineRule="exact"/>
              <w:ind w:left="658" w:hangingChars="274" w:hanging="658"/>
              <w:jc w:val="both"/>
              <w:rPr>
                <w:rFonts w:eastAsia="標楷體" w:hAnsi="標楷體" w:hint="eastAsia"/>
                <w:color w:val="FF0000"/>
              </w:rPr>
            </w:pPr>
            <w:r w:rsidRPr="002E0B85">
              <w:rPr>
                <w:rFonts w:eastAsia="標楷體"/>
                <w:color w:val="FF0000"/>
              </w:rPr>
              <w:t>解析：依「證券投資信託基金管理辦法」第</w:t>
            </w:r>
            <w:r w:rsidRPr="002E0B85">
              <w:rPr>
                <w:rFonts w:eastAsia="標楷體"/>
                <w:color w:val="FF0000"/>
              </w:rPr>
              <w:t>31</w:t>
            </w:r>
            <w:r w:rsidRPr="002E0B85">
              <w:rPr>
                <w:rFonts w:eastAsia="標楷體"/>
                <w:color w:val="FF0000"/>
              </w:rPr>
              <w:t>條之</w:t>
            </w:r>
            <w:r w:rsidRPr="002E0B85">
              <w:rPr>
                <w:rFonts w:eastAsia="標楷體"/>
                <w:color w:val="FF0000"/>
              </w:rPr>
              <w:t>1</w:t>
            </w:r>
            <w:r w:rsidRPr="002E0B85">
              <w:rPr>
                <w:rFonts w:eastAsia="標楷體"/>
                <w:color w:val="FF0000"/>
              </w:rPr>
              <w:t>第</w:t>
            </w:r>
            <w:r w:rsidRPr="002E0B85">
              <w:rPr>
                <w:rFonts w:eastAsia="標楷體"/>
                <w:color w:val="FF0000"/>
              </w:rPr>
              <w:t>2</w:t>
            </w:r>
            <w:r w:rsidRPr="002E0B85">
              <w:rPr>
                <w:rFonts w:eastAsia="標楷體"/>
                <w:color w:val="FF0000"/>
              </w:rPr>
              <w:t>項規定，</w:t>
            </w:r>
            <w:r w:rsidRPr="002E0B85">
              <w:rPr>
                <w:rFonts w:eastAsia="標楷體"/>
                <w:color w:val="FF0000"/>
                <w:kern w:val="0"/>
              </w:rPr>
              <w:t>證券投資信託事業運用多重資產型基金，因應投資策略所需，投資於基金受益憑證之總金額，得不受第</w:t>
            </w:r>
            <w:r w:rsidRPr="002E0B85">
              <w:rPr>
                <w:rFonts w:eastAsia="標楷體" w:hint="eastAsia"/>
                <w:color w:val="FF0000"/>
                <w:kern w:val="0"/>
              </w:rPr>
              <w:t>10</w:t>
            </w:r>
            <w:r w:rsidRPr="002E0B85">
              <w:rPr>
                <w:rFonts w:eastAsia="標楷體"/>
                <w:color w:val="FF0000"/>
                <w:kern w:val="0"/>
              </w:rPr>
              <w:t>條第</w:t>
            </w:r>
            <w:r w:rsidRPr="002E0B85">
              <w:rPr>
                <w:rFonts w:eastAsia="標楷體" w:hint="eastAsia"/>
                <w:color w:val="FF0000"/>
                <w:kern w:val="0"/>
              </w:rPr>
              <w:t>1</w:t>
            </w:r>
            <w:r w:rsidRPr="002E0B85">
              <w:rPr>
                <w:rFonts w:eastAsia="標楷體"/>
                <w:color w:val="FF0000"/>
                <w:kern w:val="0"/>
              </w:rPr>
              <w:t>項第</w:t>
            </w:r>
            <w:r w:rsidRPr="002E0B85">
              <w:rPr>
                <w:rFonts w:eastAsia="標楷體" w:hint="eastAsia"/>
                <w:color w:val="FF0000"/>
                <w:kern w:val="0"/>
              </w:rPr>
              <w:t>11</w:t>
            </w:r>
            <w:r w:rsidRPr="002E0B85">
              <w:rPr>
                <w:rFonts w:eastAsia="標楷體"/>
                <w:color w:val="FF0000"/>
                <w:kern w:val="0"/>
              </w:rPr>
              <w:t>款本文規定之限制。</w:t>
            </w:r>
            <w:r w:rsidRPr="002E0B85">
              <w:rPr>
                <w:rFonts w:eastAsia="標楷體" w:hint="eastAsia"/>
                <w:color w:val="FF0000"/>
                <w:kern w:val="0"/>
              </w:rPr>
              <w:t>同辦法</w:t>
            </w:r>
            <w:r w:rsidRPr="002E0B85">
              <w:rPr>
                <w:rFonts w:eastAsia="標楷體" w:hint="eastAsia"/>
                <w:color w:val="FF0000"/>
              </w:rPr>
              <w:t>第</w:t>
            </w:r>
            <w:r w:rsidRPr="002E0B85">
              <w:rPr>
                <w:rFonts w:eastAsia="標楷體" w:hint="eastAsia"/>
                <w:color w:val="FF0000"/>
              </w:rPr>
              <w:t>10</w:t>
            </w:r>
            <w:r w:rsidRPr="002E0B85">
              <w:rPr>
                <w:rFonts w:eastAsia="標楷體" w:hint="eastAsia"/>
                <w:color w:val="FF0000"/>
              </w:rPr>
              <w:t>條第</w:t>
            </w:r>
            <w:r w:rsidRPr="002E0B85">
              <w:rPr>
                <w:rFonts w:eastAsia="標楷體" w:hint="eastAsia"/>
                <w:color w:val="FF0000"/>
              </w:rPr>
              <w:t>1</w:t>
            </w:r>
            <w:r w:rsidRPr="002E0B85">
              <w:rPr>
                <w:rFonts w:eastAsia="標楷體" w:hint="eastAsia"/>
                <w:color w:val="FF0000"/>
              </w:rPr>
              <w:t>項第</w:t>
            </w:r>
            <w:r w:rsidRPr="002E0B85">
              <w:rPr>
                <w:rFonts w:eastAsia="標楷體" w:hint="eastAsia"/>
                <w:color w:val="FF0000"/>
              </w:rPr>
              <w:t>11</w:t>
            </w:r>
            <w:r w:rsidRPr="002E0B85">
              <w:rPr>
                <w:rFonts w:eastAsia="標楷體" w:hint="eastAsia"/>
                <w:color w:val="FF0000"/>
              </w:rPr>
              <w:t>款本文規定</w:t>
            </w:r>
            <w:r w:rsidRPr="002E0B85">
              <w:rPr>
                <w:rFonts w:eastAsia="標楷體"/>
                <w:color w:val="FF0000"/>
              </w:rPr>
              <w:t>為，證券投資信託事業募集基金，運用基金資產應遵守下列規定：十一、</w:t>
            </w:r>
            <w:r w:rsidRPr="002E0B85">
              <w:rPr>
                <w:rFonts w:eastAsia="標楷體"/>
                <w:color w:val="FF0000"/>
                <w:szCs w:val="22"/>
              </w:rPr>
              <w:t>每一基金投資於基金受益憑證之總金額，不得超過本基金淨資產價值之百分之二十。</w:t>
            </w:r>
          </w:p>
        </w:tc>
      </w:tr>
      <w:tr w:rsidR="00401B72" w:rsidTr="00A27051">
        <w:tblPrEx>
          <w:tblCellMar>
            <w:top w:w="0" w:type="dxa"/>
            <w:bottom w:w="0" w:type="dxa"/>
          </w:tblCellMar>
        </w:tblPrEx>
        <w:trPr>
          <w:trHeight w:val="511"/>
        </w:trPr>
        <w:tc>
          <w:tcPr>
            <w:tcW w:w="720" w:type="dxa"/>
            <w:vAlign w:val="center"/>
          </w:tcPr>
          <w:p w:rsidR="00401B72" w:rsidRDefault="00401B72" w:rsidP="004164BF">
            <w:pPr>
              <w:snapToGrid w:val="0"/>
              <w:spacing w:line="240" w:lineRule="atLeast"/>
              <w:jc w:val="center"/>
              <w:rPr>
                <w:rFonts w:eastAsia="標楷體" w:hint="eastAsia"/>
              </w:rPr>
            </w:pPr>
            <w:r>
              <w:rPr>
                <w:rFonts w:eastAsia="標楷體" w:hint="eastAsia"/>
              </w:rPr>
              <w:t>4</w:t>
            </w:r>
          </w:p>
        </w:tc>
        <w:tc>
          <w:tcPr>
            <w:tcW w:w="851" w:type="dxa"/>
            <w:vAlign w:val="center"/>
          </w:tcPr>
          <w:p w:rsidR="00401B72" w:rsidRDefault="0063615A" w:rsidP="00B3723F">
            <w:pPr>
              <w:snapToGrid w:val="0"/>
              <w:spacing w:line="240" w:lineRule="atLeast"/>
              <w:jc w:val="center"/>
              <w:rPr>
                <w:rFonts w:eastAsia="標楷體" w:hint="eastAsia"/>
              </w:rPr>
            </w:pPr>
            <w:r>
              <w:rPr>
                <w:rFonts w:eastAsia="標楷體" w:hint="eastAsia"/>
              </w:rPr>
              <w:t>第二章</w:t>
            </w:r>
          </w:p>
        </w:tc>
        <w:tc>
          <w:tcPr>
            <w:tcW w:w="589" w:type="dxa"/>
            <w:vAlign w:val="center"/>
          </w:tcPr>
          <w:p w:rsidR="00401B72" w:rsidRDefault="0063615A" w:rsidP="00B3723F">
            <w:pPr>
              <w:snapToGrid w:val="0"/>
              <w:spacing w:line="240" w:lineRule="atLeast"/>
              <w:jc w:val="center"/>
              <w:rPr>
                <w:rFonts w:eastAsia="標楷體" w:hint="eastAsia"/>
              </w:rPr>
            </w:pPr>
            <w:r>
              <w:rPr>
                <w:rFonts w:eastAsia="標楷體" w:hint="eastAsia"/>
              </w:rPr>
              <w:t>新增</w:t>
            </w:r>
          </w:p>
        </w:tc>
        <w:tc>
          <w:tcPr>
            <w:tcW w:w="7632" w:type="dxa"/>
            <w:vAlign w:val="center"/>
          </w:tcPr>
          <w:p w:rsidR="00C74E43" w:rsidRPr="002E0B85" w:rsidRDefault="00113C14" w:rsidP="00C74E43">
            <w:pPr>
              <w:snapToGrid w:val="0"/>
              <w:spacing w:line="360" w:lineRule="exact"/>
              <w:ind w:left="708" w:hangingChars="295" w:hanging="708"/>
              <w:rPr>
                <w:rFonts w:eastAsia="標楷體"/>
                <w:color w:val="FF0000"/>
              </w:rPr>
            </w:pPr>
            <w:r>
              <w:rPr>
                <w:rFonts w:ascii="標楷體" w:eastAsia="標楷體" w:hAnsi="標楷體" w:hint="eastAsia"/>
                <w:color w:val="FF0000"/>
              </w:rPr>
              <w:t>題目:</w:t>
            </w:r>
            <w:r w:rsidR="00C74E43" w:rsidRPr="002E0B85">
              <w:rPr>
                <w:rFonts w:eastAsia="標楷體" w:hint="eastAsia"/>
                <w:color w:val="FF0000"/>
              </w:rPr>
              <w:t>以追蹤</w:t>
            </w:r>
            <w:r w:rsidR="00C74E43" w:rsidRPr="002E0B85">
              <w:rPr>
                <w:rFonts w:ascii="標楷體" w:eastAsia="標楷體" w:hAnsi="標楷體" w:hint="eastAsia"/>
                <w:color w:val="FF0000"/>
              </w:rPr>
              <w:t>、</w:t>
            </w:r>
            <w:r w:rsidR="00C74E43" w:rsidRPr="002E0B85">
              <w:rPr>
                <w:rFonts w:eastAsia="標楷體" w:hint="eastAsia"/>
                <w:color w:val="FF0000"/>
              </w:rPr>
              <w:t>模擬或複製標的指數表現</w:t>
            </w:r>
            <w:r w:rsidR="00C74E43" w:rsidRPr="002E0B85">
              <w:rPr>
                <w:rFonts w:ascii="標楷體" w:eastAsia="標楷體" w:hAnsi="標楷體" w:hint="eastAsia"/>
                <w:color w:val="FF0000"/>
              </w:rPr>
              <w:t>，</w:t>
            </w:r>
            <w:r w:rsidR="00C74E43" w:rsidRPr="002E0B85">
              <w:rPr>
                <w:rFonts w:eastAsia="標楷體" w:hint="eastAsia"/>
                <w:color w:val="FF0000"/>
              </w:rPr>
              <w:t>並在證券市場交易</w:t>
            </w:r>
            <w:r w:rsidR="00C74E43" w:rsidRPr="002E0B85">
              <w:rPr>
                <w:rFonts w:ascii="標楷體" w:eastAsia="標楷體" w:hAnsi="標楷體" w:hint="eastAsia"/>
                <w:color w:val="FF0000"/>
              </w:rPr>
              <w:t>，</w:t>
            </w:r>
            <w:r w:rsidR="00C74E43" w:rsidRPr="002E0B85">
              <w:rPr>
                <w:rFonts w:eastAsia="標楷體" w:hint="eastAsia"/>
                <w:color w:val="FF0000"/>
              </w:rPr>
              <w:t>且申購</w:t>
            </w:r>
            <w:r w:rsidR="00C74E43" w:rsidRPr="002E0B85">
              <w:rPr>
                <w:rFonts w:ascii="標楷體" w:eastAsia="標楷體" w:hAnsi="標楷體" w:hint="eastAsia"/>
                <w:color w:val="FF0000"/>
              </w:rPr>
              <w:t>、</w:t>
            </w:r>
            <w:r w:rsidR="00C74E43" w:rsidRPr="002E0B85">
              <w:rPr>
                <w:rFonts w:eastAsia="標楷體" w:hint="eastAsia"/>
                <w:color w:val="FF0000"/>
              </w:rPr>
              <w:t>買回</w:t>
            </w:r>
            <w:proofErr w:type="gramStart"/>
            <w:r w:rsidR="00C74E43" w:rsidRPr="002E0B85">
              <w:rPr>
                <w:rFonts w:eastAsia="標楷體" w:hint="eastAsia"/>
                <w:color w:val="FF0000"/>
              </w:rPr>
              <w:t>採</w:t>
            </w:r>
            <w:proofErr w:type="gramEnd"/>
            <w:r w:rsidR="00C74E43" w:rsidRPr="002E0B85">
              <w:rPr>
                <w:rFonts w:eastAsia="標楷體" w:hint="eastAsia"/>
                <w:color w:val="FF0000"/>
              </w:rPr>
              <w:t>實物或依據證券投資信託契約規定方式交付之基金稱為</w:t>
            </w:r>
            <w:r w:rsidR="00C74E43" w:rsidRPr="002E0B85">
              <w:rPr>
                <w:rFonts w:ascii="標楷體" w:eastAsia="標楷體" w:hAnsi="標楷體" w:hint="eastAsia"/>
                <w:color w:val="FF0000"/>
              </w:rPr>
              <w:t>：</w:t>
            </w:r>
          </w:p>
          <w:p w:rsidR="00C74E43" w:rsidRPr="002E0B85" w:rsidRDefault="00C74E43" w:rsidP="00C74E43">
            <w:pPr>
              <w:snapToGrid w:val="0"/>
              <w:spacing w:line="360" w:lineRule="exact"/>
              <w:ind w:leftChars="295" w:left="708" w:firstLine="1"/>
              <w:rPr>
                <w:rFonts w:eastAsia="標楷體"/>
                <w:color w:val="FF0000"/>
              </w:rPr>
            </w:pPr>
            <w:r w:rsidRPr="002E0B85">
              <w:rPr>
                <w:rFonts w:eastAsia="標楷體"/>
                <w:color w:val="FF0000"/>
              </w:rPr>
              <w:t>(1)</w:t>
            </w:r>
            <w:r w:rsidRPr="002E0B85">
              <w:rPr>
                <w:rFonts w:eastAsia="標楷體" w:hint="eastAsia"/>
                <w:color w:val="FF0000"/>
              </w:rPr>
              <w:t>組合型基金</w:t>
            </w:r>
            <w:r w:rsidRPr="002E0B85">
              <w:rPr>
                <w:rFonts w:eastAsia="標楷體"/>
                <w:color w:val="FF0000"/>
              </w:rPr>
              <w:t xml:space="preserve">   (2)</w:t>
            </w:r>
            <w:r w:rsidRPr="002E0B85">
              <w:rPr>
                <w:rFonts w:eastAsia="標楷體" w:hint="eastAsia"/>
                <w:color w:val="FF0000"/>
              </w:rPr>
              <w:t>多重資產型基金</w:t>
            </w:r>
            <w:r w:rsidRPr="002E0B85">
              <w:rPr>
                <w:rFonts w:eastAsia="標楷體"/>
                <w:color w:val="FF0000"/>
              </w:rPr>
              <w:t xml:space="preserve">   (3)</w:t>
            </w:r>
            <w:r w:rsidRPr="002E0B85">
              <w:rPr>
                <w:rFonts w:eastAsia="標楷體" w:hint="eastAsia"/>
                <w:color w:val="FF0000"/>
              </w:rPr>
              <w:t>指數股票型基金</w:t>
            </w:r>
            <w:r w:rsidRPr="002E0B85">
              <w:rPr>
                <w:rFonts w:eastAsia="標楷體"/>
                <w:color w:val="FF0000"/>
              </w:rPr>
              <w:t xml:space="preserve">   </w:t>
            </w:r>
          </w:p>
          <w:p w:rsidR="00C74E43" w:rsidRPr="002E0B85" w:rsidRDefault="00C74E43" w:rsidP="00C74E43">
            <w:pPr>
              <w:snapToGrid w:val="0"/>
              <w:spacing w:line="360" w:lineRule="exact"/>
              <w:ind w:leftChars="295" w:left="708" w:firstLine="1"/>
              <w:rPr>
                <w:rFonts w:eastAsia="標楷體"/>
                <w:color w:val="FF0000"/>
              </w:rPr>
            </w:pPr>
            <w:r w:rsidRPr="002E0B85">
              <w:rPr>
                <w:rFonts w:eastAsia="標楷體"/>
                <w:color w:val="FF0000"/>
              </w:rPr>
              <w:t>(4)</w:t>
            </w:r>
            <w:r w:rsidRPr="002E0B85">
              <w:rPr>
                <w:rFonts w:eastAsia="標楷體" w:hint="eastAsia"/>
                <w:color w:val="FF0000"/>
              </w:rPr>
              <w:t>平衡型基金</w:t>
            </w:r>
          </w:p>
          <w:p w:rsidR="00113C14" w:rsidRDefault="00113C14" w:rsidP="00113C14">
            <w:pPr>
              <w:snapToGrid w:val="0"/>
              <w:jc w:val="both"/>
              <w:rPr>
                <w:rFonts w:eastAsia="標楷體" w:hint="eastAsia"/>
                <w:color w:val="FF0000"/>
              </w:rPr>
            </w:pPr>
            <w:r w:rsidRPr="00763D52">
              <w:rPr>
                <w:rFonts w:eastAsia="標楷體" w:hint="eastAsia"/>
                <w:color w:val="FF0000"/>
              </w:rPr>
              <w:lastRenderedPageBreak/>
              <w:t>解答：</w:t>
            </w:r>
            <w:r w:rsidRPr="00763D52">
              <w:rPr>
                <w:rFonts w:eastAsia="標楷體" w:hint="eastAsia"/>
                <w:color w:val="FF0000"/>
              </w:rPr>
              <w:t>(</w:t>
            </w:r>
            <w:r>
              <w:rPr>
                <w:rFonts w:eastAsia="標楷體" w:hint="eastAsia"/>
                <w:color w:val="FF0000"/>
              </w:rPr>
              <w:t>3</w:t>
            </w:r>
            <w:r w:rsidRPr="00763D52">
              <w:rPr>
                <w:rFonts w:eastAsia="標楷體" w:hint="eastAsia"/>
                <w:color w:val="FF0000"/>
              </w:rPr>
              <w:t>)</w:t>
            </w:r>
          </w:p>
          <w:p w:rsidR="00401B72" w:rsidRPr="002E0B85" w:rsidRDefault="00C74E43" w:rsidP="00C74E43">
            <w:pPr>
              <w:snapToGrid w:val="0"/>
              <w:spacing w:line="360" w:lineRule="exact"/>
              <w:ind w:left="658" w:hangingChars="274" w:hanging="658"/>
              <w:jc w:val="both"/>
              <w:rPr>
                <w:rFonts w:eastAsia="標楷體"/>
                <w:color w:val="FF0000"/>
              </w:rPr>
            </w:pPr>
            <w:r w:rsidRPr="002E0B85">
              <w:rPr>
                <w:rFonts w:eastAsia="標楷體"/>
                <w:color w:val="FF0000"/>
              </w:rPr>
              <w:t>解析：依「證券投資信託基金管理辦法」第</w:t>
            </w:r>
            <w:r w:rsidRPr="002E0B85">
              <w:rPr>
                <w:rFonts w:eastAsia="標楷體"/>
                <w:color w:val="FF0000"/>
              </w:rPr>
              <w:t>37</w:t>
            </w:r>
            <w:r w:rsidRPr="002E0B85">
              <w:rPr>
                <w:rFonts w:eastAsia="標楷體"/>
                <w:color w:val="FF0000"/>
              </w:rPr>
              <w:t>條第</w:t>
            </w:r>
            <w:r w:rsidRPr="002E0B85">
              <w:rPr>
                <w:rFonts w:eastAsia="標楷體"/>
                <w:color w:val="FF0000"/>
              </w:rPr>
              <w:t>1</w:t>
            </w:r>
            <w:r w:rsidRPr="002E0B85">
              <w:rPr>
                <w:rFonts w:eastAsia="標楷體"/>
                <w:color w:val="FF0000"/>
              </w:rPr>
              <w:t>項規定，</w:t>
            </w:r>
            <w:r w:rsidRPr="002E0B85">
              <w:rPr>
                <w:rFonts w:eastAsia="標楷體"/>
                <w:color w:val="FF0000"/>
                <w:szCs w:val="22"/>
              </w:rPr>
              <w:t>指數股票型基金指以追蹤、模擬或複製標的指數表現，並在證券交易市場交易，且申購、買回</w:t>
            </w:r>
            <w:proofErr w:type="gramStart"/>
            <w:r w:rsidRPr="002E0B85">
              <w:rPr>
                <w:rFonts w:eastAsia="標楷體"/>
                <w:color w:val="FF0000"/>
                <w:szCs w:val="22"/>
              </w:rPr>
              <w:t>採</w:t>
            </w:r>
            <w:proofErr w:type="gramEnd"/>
            <w:r w:rsidRPr="002E0B85">
              <w:rPr>
                <w:rFonts w:eastAsia="標楷體"/>
                <w:color w:val="FF0000"/>
                <w:szCs w:val="22"/>
              </w:rPr>
              <w:t>實物或依據證券投資信託契約規定方式交付之基金</w:t>
            </w:r>
            <w:r w:rsidRPr="002E0B85">
              <w:rPr>
                <w:rFonts w:eastAsia="標楷體"/>
                <w:color w:val="FF0000"/>
              </w:rPr>
              <w:t>。</w:t>
            </w:r>
          </w:p>
        </w:tc>
      </w:tr>
      <w:tr w:rsidR="00401B72" w:rsidTr="00A27051">
        <w:tblPrEx>
          <w:tblCellMar>
            <w:top w:w="0" w:type="dxa"/>
            <w:bottom w:w="0" w:type="dxa"/>
          </w:tblCellMar>
        </w:tblPrEx>
        <w:trPr>
          <w:trHeight w:val="511"/>
        </w:trPr>
        <w:tc>
          <w:tcPr>
            <w:tcW w:w="720" w:type="dxa"/>
            <w:vAlign w:val="center"/>
          </w:tcPr>
          <w:p w:rsidR="00401B72" w:rsidRDefault="00401B72" w:rsidP="004164BF">
            <w:pPr>
              <w:snapToGrid w:val="0"/>
              <w:spacing w:line="240" w:lineRule="atLeast"/>
              <w:jc w:val="center"/>
              <w:rPr>
                <w:rFonts w:eastAsia="標楷體" w:hint="eastAsia"/>
              </w:rPr>
            </w:pPr>
            <w:r>
              <w:rPr>
                <w:rFonts w:eastAsia="標楷體" w:hint="eastAsia"/>
              </w:rPr>
              <w:lastRenderedPageBreak/>
              <w:t>5</w:t>
            </w:r>
          </w:p>
        </w:tc>
        <w:tc>
          <w:tcPr>
            <w:tcW w:w="851" w:type="dxa"/>
            <w:vAlign w:val="center"/>
          </w:tcPr>
          <w:p w:rsidR="00401B72" w:rsidRDefault="0063615A" w:rsidP="00B3723F">
            <w:pPr>
              <w:snapToGrid w:val="0"/>
              <w:spacing w:line="240" w:lineRule="atLeast"/>
              <w:jc w:val="center"/>
              <w:rPr>
                <w:rFonts w:eastAsia="標楷體" w:hint="eastAsia"/>
              </w:rPr>
            </w:pPr>
            <w:r>
              <w:rPr>
                <w:rFonts w:eastAsia="標楷體" w:hint="eastAsia"/>
              </w:rPr>
              <w:t>第二章</w:t>
            </w:r>
          </w:p>
        </w:tc>
        <w:tc>
          <w:tcPr>
            <w:tcW w:w="589" w:type="dxa"/>
            <w:vAlign w:val="center"/>
          </w:tcPr>
          <w:p w:rsidR="00401B72" w:rsidRDefault="0063615A" w:rsidP="00B3723F">
            <w:pPr>
              <w:snapToGrid w:val="0"/>
              <w:spacing w:line="240" w:lineRule="atLeast"/>
              <w:jc w:val="center"/>
              <w:rPr>
                <w:rFonts w:eastAsia="標楷體" w:hint="eastAsia"/>
              </w:rPr>
            </w:pPr>
            <w:r>
              <w:rPr>
                <w:rFonts w:eastAsia="標楷體" w:hint="eastAsia"/>
              </w:rPr>
              <w:t>新增</w:t>
            </w:r>
          </w:p>
        </w:tc>
        <w:tc>
          <w:tcPr>
            <w:tcW w:w="7632" w:type="dxa"/>
            <w:vAlign w:val="center"/>
          </w:tcPr>
          <w:p w:rsidR="00C74E43" w:rsidRPr="002E0B85" w:rsidRDefault="00113C14" w:rsidP="00C74E43">
            <w:pPr>
              <w:snapToGrid w:val="0"/>
              <w:spacing w:line="360" w:lineRule="exact"/>
              <w:ind w:left="708" w:hangingChars="295" w:hanging="708"/>
              <w:rPr>
                <w:rFonts w:eastAsia="標楷體"/>
                <w:color w:val="FF0000"/>
              </w:rPr>
            </w:pPr>
            <w:r>
              <w:rPr>
                <w:rFonts w:ascii="標楷體" w:eastAsia="標楷體" w:hAnsi="標楷體" w:hint="eastAsia"/>
                <w:color w:val="FF0000"/>
              </w:rPr>
              <w:t>題目:</w:t>
            </w:r>
            <w:r w:rsidR="00C74E43" w:rsidRPr="002E0B85">
              <w:rPr>
                <w:rFonts w:eastAsia="標楷體" w:hint="eastAsia"/>
                <w:color w:val="FF0000"/>
              </w:rPr>
              <w:t>槓桿型</w:t>
            </w:r>
            <w:r w:rsidR="00C74E43" w:rsidRPr="002E0B85">
              <w:rPr>
                <w:rFonts w:eastAsia="標楷體" w:hint="eastAsia"/>
                <w:color w:val="FF0000"/>
              </w:rPr>
              <w:t>ETF</w:t>
            </w:r>
            <w:r w:rsidR="00C74E43" w:rsidRPr="002E0B85">
              <w:rPr>
                <w:rFonts w:eastAsia="標楷體" w:hint="eastAsia"/>
                <w:color w:val="FF0000"/>
              </w:rPr>
              <w:t>或</w:t>
            </w:r>
            <w:proofErr w:type="gramStart"/>
            <w:r w:rsidR="00C74E43" w:rsidRPr="002E0B85">
              <w:rPr>
                <w:rFonts w:eastAsia="標楷體" w:hint="eastAsia"/>
                <w:color w:val="FF0000"/>
              </w:rPr>
              <w:t>反向型</w:t>
            </w:r>
            <w:proofErr w:type="gramEnd"/>
            <w:r w:rsidR="00C74E43" w:rsidRPr="002E0B85">
              <w:rPr>
                <w:rFonts w:eastAsia="標楷體" w:hint="eastAsia"/>
                <w:color w:val="FF0000"/>
              </w:rPr>
              <w:t>ETF</w:t>
            </w:r>
            <w:r w:rsidR="00C74E43" w:rsidRPr="002E0B85">
              <w:rPr>
                <w:rFonts w:eastAsia="標楷體"/>
                <w:color w:val="FF0000"/>
              </w:rPr>
              <w:t>投資於基金受益憑證之總金額不得超過本基金淨資產價值之多少比例？</w:t>
            </w:r>
          </w:p>
          <w:p w:rsidR="00C74E43" w:rsidRPr="002E0B85" w:rsidRDefault="00C74E43" w:rsidP="00C74E43">
            <w:pPr>
              <w:snapToGrid w:val="0"/>
              <w:spacing w:line="360" w:lineRule="exact"/>
              <w:ind w:leftChars="295" w:left="708" w:firstLine="1"/>
              <w:rPr>
                <w:rFonts w:eastAsia="標楷體"/>
                <w:color w:val="FF0000"/>
              </w:rPr>
            </w:pPr>
            <w:r w:rsidRPr="002E0B85">
              <w:rPr>
                <w:rFonts w:eastAsia="標楷體"/>
                <w:color w:val="FF0000"/>
              </w:rPr>
              <w:t>(1)</w:t>
            </w:r>
            <w:r w:rsidRPr="002E0B85">
              <w:rPr>
                <w:rFonts w:eastAsia="標楷體" w:hint="eastAsia"/>
                <w:color w:val="FF0000"/>
              </w:rPr>
              <w:t>2</w:t>
            </w:r>
            <w:r w:rsidRPr="002E0B85">
              <w:rPr>
                <w:rFonts w:eastAsia="標楷體"/>
                <w:color w:val="FF0000"/>
              </w:rPr>
              <w:t>0%   (2)</w:t>
            </w:r>
            <w:r w:rsidRPr="002E0B85">
              <w:rPr>
                <w:rFonts w:eastAsia="標楷體" w:hint="eastAsia"/>
                <w:color w:val="FF0000"/>
              </w:rPr>
              <w:t>3</w:t>
            </w:r>
            <w:r w:rsidRPr="002E0B85">
              <w:rPr>
                <w:rFonts w:eastAsia="標楷體"/>
                <w:color w:val="FF0000"/>
              </w:rPr>
              <w:t>0%   (3)</w:t>
            </w:r>
            <w:r w:rsidRPr="002E0B85">
              <w:rPr>
                <w:rFonts w:eastAsia="標楷體" w:hint="eastAsia"/>
                <w:color w:val="FF0000"/>
              </w:rPr>
              <w:t>5</w:t>
            </w:r>
            <w:r w:rsidRPr="002E0B85">
              <w:rPr>
                <w:rFonts w:eastAsia="標楷體"/>
                <w:color w:val="FF0000"/>
              </w:rPr>
              <w:t>0%   (4)</w:t>
            </w:r>
            <w:r w:rsidRPr="002E0B85">
              <w:rPr>
                <w:rFonts w:eastAsia="標楷體" w:hint="eastAsia"/>
                <w:color w:val="FF0000"/>
              </w:rPr>
              <w:t>7</w:t>
            </w:r>
            <w:r w:rsidRPr="002E0B85">
              <w:rPr>
                <w:rFonts w:eastAsia="標楷體"/>
                <w:color w:val="FF0000"/>
              </w:rPr>
              <w:t>0%</w:t>
            </w:r>
          </w:p>
          <w:p w:rsidR="00113C14" w:rsidRDefault="00113C14" w:rsidP="00113C14">
            <w:pPr>
              <w:snapToGrid w:val="0"/>
              <w:jc w:val="both"/>
              <w:rPr>
                <w:rFonts w:eastAsia="標楷體" w:hint="eastAsia"/>
                <w:color w:val="FF0000"/>
              </w:rPr>
            </w:pPr>
            <w:r w:rsidRPr="00763D52">
              <w:rPr>
                <w:rFonts w:eastAsia="標楷體" w:hint="eastAsia"/>
                <w:color w:val="FF0000"/>
              </w:rPr>
              <w:t>解答：</w:t>
            </w:r>
            <w:r w:rsidRPr="00763D52">
              <w:rPr>
                <w:rFonts w:eastAsia="標楷體" w:hint="eastAsia"/>
                <w:color w:val="FF0000"/>
              </w:rPr>
              <w:t>(</w:t>
            </w:r>
            <w:r>
              <w:rPr>
                <w:rFonts w:eastAsia="標楷體" w:hint="eastAsia"/>
                <w:color w:val="FF0000"/>
              </w:rPr>
              <w:t>2</w:t>
            </w:r>
            <w:r w:rsidRPr="00763D52">
              <w:rPr>
                <w:rFonts w:eastAsia="標楷體" w:hint="eastAsia"/>
                <w:color w:val="FF0000"/>
              </w:rPr>
              <w:t>)</w:t>
            </w:r>
          </w:p>
          <w:p w:rsidR="00401B72" w:rsidRPr="002E0B85" w:rsidRDefault="00C74E43" w:rsidP="00C74E43">
            <w:pPr>
              <w:snapToGrid w:val="0"/>
              <w:spacing w:line="360" w:lineRule="exact"/>
              <w:ind w:left="658" w:hangingChars="274" w:hanging="658"/>
              <w:jc w:val="both"/>
              <w:rPr>
                <w:rFonts w:eastAsia="標楷體" w:hAnsi="標楷體"/>
                <w:color w:val="FF0000"/>
              </w:rPr>
            </w:pPr>
            <w:r w:rsidRPr="002E0B85">
              <w:rPr>
                <w:rFonts w:eastAsia="標楷體"/>
                <w:color w:val="FF0000"/>
              </w:rPr>
              <w:t>解析：依「證券投資信託基金管理辦法」第</w:t>
            </w:r>
            <w:r w:rsidRPr="002E0B85">
              <w:rPr>
                <w:rFonts w:eastAsia="標楷體"/>
                <w:color w:val="FF0000"/>
              </w:rPr>
              <w:t>37</w:t>
            </w:r>
            <w:r w:rsidRPr="002E0B85">
              <w:rPr>
                <w:rFonts w:eastAsia="標楷體"/>
                <w:color w:val="FF0000"/>
              </w:rPr>
              <w:t>條之</w:t>
            </w:r>
            <w:r w:rsidRPr="002E0B85">
              <w:rPr>
                <w:rFonts w:eastAsia="標楷體"/>
                <w:color w:val="FF0000"/>
              </w:rPr>
              <w:t>1</w:t>
            </w:r>
            <w:r w:rsidRPr="002E0B85">
              <w:rPr>
                <w:rFonts w:eastAsia="標楷體"/>
                <w:color w:val="FF0000"/>
              </w:rPr>
              <w:t>第</w:t>
            </w:r>
            <w:r w:rsidRPr="002E0B85">
              <w:rPr>
                <w:rFonts w:eastAsia="標楷體"/>
                <w:color w:val="FF0000"/>
              </w:rPr>
              <w:t>2</w:t>
            </w:r>
            <w:r w:rsidRPr="002E0B85">
              <w:rPr>
                <w:rFonts w:eastAsia="標楷體"/>
                <w:color w:val="FF0000"/>
              </w:rPr>
              <w:t>款規定，</w:t>
            </w:r>
            <w:r w:rsidRPr="002E0B85">
              <w:rPr>
                <w:rFonts w:eastAsia="標楷體"/>
                <w:color w:val="FF0000"/>
                <w:szCs w:val="22"/>
              </w:rPr>
              <w:t>證券投資信託事業募集指數股票型基金以追蹤、模擬或複製標的指數之正向倍數（簡稱槓桿型</w:t>
            </w:r>
            <w:r w:rsidRPr="002E0B85">
              <w:rPr>
                <w:rFonts w:eastAsia="標楷體"/>
                <w:color w:val="FF0000"/>
                <w:szCs w:val="22"/>
              </w:rPr>
              <w:t>ETF</w:t>
            </w:r>
            <w:r w:rsidRPr="002E0B85">
              <w:rPr>
                <w:rFonts w:eastAsia="標楷體"/>
                <w:color w:val="FF0000"/>
                <w:szCs w:val="22"/>
              </w:rPr>
              <w:t>）或反向倍數（簡稱反向型</w:t>
            </w:r>
            <w:r w:rsidRPr="002E0B85">
              <w:rPr>
                <w:rFonts w:eastAsia="標楷體"/>
                <w:color w:val="FF0000"/>
                <w:szCs w:val="22"/>
              </w:rPr>
              <w:t>ETF</w:t>
            </w:r>
            <w:r w:rsidRPr="002E0B85">
              <w:rPr>
                <w:rFonts w:eastAsia="標楷體"/>
                <w:color w:val="FF0000"/>
                <w:szCs w:val="22"/>
              </w:rPr>
              <w:t>）表現者，除依本辦法及證券投資信託契約之規定辦理外，並應遵守下列規定：二、為因應投資策略所需，投資於基金受益憑證之總金額，得不受第十條第一項第十一款本文規定之限制。但不得超過本基金淨資產價值之百分之三十。</w:t>
            </w:r>
            <w:r w:rsidRPr="002E0B85">
              <w:rPr>
                <w:rFonts w:eastAsia="標楷體"/>
                <w:color w:val="FF0000"/>
                <w:kern w:val="0"/>
              </w:rPr>
              <w:t>同辦法</w:t>
            </w:r>
            <w:r w:rsidRPr="002E0B85">
              <w:rPr>
                <w:rFonts w:eastAsia="標楷體"/>
                <w:color w:val="FF0000"/>
              </w:rPr>
              <w:t>第</w:t>
            </w:r>
            <w:r w:rsidRPr="002E0B85">
              <w:rPr>
                <w:rFonts w:eastAsia="標楷體"/>
                <w:color w:val="FF0000"/>
              </w:rPr>
              <w:t>10</w:t>
            </w:r>
            <w:r w:rsidRPr="002E0B85">
              <w:rPr>
                <w:rFonts w:eastAsia="標楷體"/>
                <w:color w:val="FF0000"/>
              </w:rPr>
              <w:t>條第</w:t>
            </w:r>
            <w:r w:rsidRPr="002E0B85">
              <w:rPr>
                <w:rFonts w:eastAsia="標楷體"/>
                <w:color w:val="FF0000"/>
              </w:rPr>
              <w:t>1</w:t>
            </w:r>
            <w:r w:rsidRPr="002E0B85">
              <w:rPr>
                <w:rFonts w:eastAsia="標楷體"/>
                <w:color w:val="FF0000"/>
              </w:rPr>
              <w:t>項第</w:t>
            </w:r>
            <w:r w:rsidRPr="002E0B85">
              <w:rPr>
                <w:rFonts w:eastAsia="標楷體"/>
                <w:color w:val="FF0000"/>
              </w:rPr>
              <w:t>11</w:t>
            </w:r>
            <w:r w:rsidRPr="002E0B85">
              <w:rPr>
                <w:rFonts w:eastAsia="標楷體"/>
                <w:color w:val="FF0000"/>
              </w:rPr>
              <w:t>款本文規定為，證券投資信託事業募集基金，運用基金資產應遵守下列規定：十一、</w:t>
            </w:r>
            <w:r w:rsidRPr="002E0B85">
              <w:rPr>
                <w:rFonts w:eastAsia="標楷體"/>
                <w:color w:val="FF0000"/>
                <w:szCs w:val="22"/>
              </w:rPr>
              <w:t>每一基金投資於基金受益憑證之總金額，不得超過本基金淨資產價值之百分之二十。</w:t>
            </w:r>
          </w:p>
        </w:tc>
      </w:tr>
    </w:tbl>
    <w:p w:rsidR="00D36B26" w:rsidRDefault="00D36B26" w:rsidP="009D4498">
      <w:pPr>
        <w:snapToGrid w:val="0"/>
        <w:spacing w:line="240" w:lineRule="atLeast"/>
        <w:jc w:val="both"/>
        <w:rPr>
          <w:rFonts w:hint="eastAsia"/>
        </w:rPr>
      </w:pPr>
    </w:p>
    <w:sectPr w:rsidR="00D36B26" w:rsidSect="00C1300F">
      <w:footerReference w:type="default" r:id="rId7"/>
      <w:pgSz w:w="11906" w:h="16838"/>
      <w:pgMar w:top="899" w:right="1286" w:bottom="107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1A" w:rsidRDefault="00DB3B1A">
      <w:r>
        <w:separator/>
      </w:r>
    </w:p>
  </w:endnote>
  <w:endnote w:type="continuationSeparator" w:id="0">
    <w:p w:rsidR="00DB3B1A" w:rsidRDefault="00DB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細圓">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8D" w:rsidRDefault="00D56A8D">
    <w:pPr>
      <w:pStyle w:val="a3"/>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sidR="003C1F70">
      <w:rPr>
        <w:noProof/>
        <w:kern w:val="0"/>
      </w:rPr>
      <w:t>1</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3C1F70">
      <w:rPr>
        <w:noProof/>
        <w:kern w:val="0"/>
      </w:rPr>
      <w:t>2</w:t>
    </w:r>
    <w:r>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1A" w:rsidRDefault="00DB3B1A">
      <w:r>
        <w:separator/>
      </w:r>
    </w:p>
  </w:footnote>
  <w:footnote w:type="continuationSeparator" w:id="0">
    <w:p w:rsidR="00DB3B1A" w:rsidRDefault="00DB3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4EFA"/>
    <w:multiLevelType w:val="hybridMultilevel"/>
    <w:tmpl w:val="F98610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730C6A"/>
    <w:multiLevelType w:val="singleLevel"/>
    <w:tmpl w:val="0409000F"/>
    <w:lvl w:ilvl="0">
      <w:start w:val="1"/>
      <w:numFmt w:val="decimal"/>
      <w:lvlText w:val="%1."/>
      <w:lvlJc w:val="left"/>
      <w:pPr>
        <w:tabs>
          <w:tab w:val="num" w:pos="425"/>
        </w:tabs>
        <w:ind w:left="425" w:hanging="425"/>
      </w:pPr>
    </w:lvl>
  </w:abstractNum>
  <w:abstractNum w:abstractNumId="2">
    <w:nsid w:val="4DD05DCC"/>
    <w:multiLevelType w:val="singleLevel"/>
    <w:tmpl w:val="0409000F"/>
    <w:lvl w:ilvl="0">
      <w:start w:val="1"/>
      <w:numFmt w:val="decimal"/>
      <w:lvlText w:val="%1."/>
      <w:lvlJc w:val="left"/>
      <w:pPr>
        <w:tabs>
          <w:tab w:val="num" w:pos="425"/>
        </w:tabs>
        <w:ind w:left="425" w:hanging="425"/>
      </w:pPr>
    </w:lvl>
  </w:abstractNum>
  <w:abstractNum w:abstractNumId="3">
    <w:nsid w:val="5B853749"/>
    <w:multiLevelType w:val="singleLevel"/>
    <w:tmpl w:val="7618030A"/>
    <w:lvl w:ilvl="0">
      <w:start w:val="1"/>
      <w:numFmt w:val="decimal"/>
      <w:lvlText w:val="第%1、"/>
      <w:lvlJc w:val="left"/>
      <w:pPr>
        <w:tabs>
          <w:tab w:val="num" w:pos="720"/>
        </w:tabs>
        <w:ind w:left="720" w:hanging="720"/>
      </w:pPr>
      <w:rPr>
        <w:rFonts w:hint="eastAsia"/>
      </w:rPr>
    </w:lvl>
  </w:abstractNum>
  <w:abstractNum w:abstractNumId="4">
    <w:nsid w:val="5DB11004"/>
    <w:multiLevelType w:val="hybridMultilevel"/>
    <w:tmpl w:val="89784CD8"/>
    <w:lvl w:ilvl="0" w:tplc="3DE630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48D"/>
    <w:rsid w:val="0000506C"/>
    <w:rsid w:val="00007288"/>
    <w:rsid w:val="00010AC1"/>
    <w:rsid w:val="00022F40"/>
    <w:rsid w:val="000251BD"/>
    <w:rsid w:val="00043D9E"/>
    <w:rsid w:val="00047983"/>
    <w:rsid w:val="00072FE7"/>
    <w:rsid w:val="000A1443"/>
    <w:rsid w:val="000A555D"/>
    <w:rsid w:val="000A637B"/>
    <w:rsid w:val="000B5C8A"/>
    <w:rsid w:val="000C72C7"/>
    <w:rsid w:val="000D29BB"/>
    <w:rsid w:val="000D3073"/>
    <w:rsid w:val="001120BE"/>
    <w:rsid w:val="00113C14"/>
    <w:rsid w:val="00134B39"/>
    <w:rsid w:val="00135503"/>
    <w:rsid w:val="00145981"/>
    <w:rsid w:val="00172151"/>
    <w:rsid w:val="001A0006"/>
    <w:rsid w:val="001B2783"/>
    <w:rsid w:val="001D6DE1"/>
    <w:rsid w:val="001F404B"/>
    <w:rsid w:val="001F71AD"/>
    <w:rsid w:val="00205545"/>
    <w:rsid w:val="002300AC"/>
    <w:rsid w:val="002B3D5A"/>
    <w:rsid w:val="002D5FD4"/>
    <w:rsid w:val="002E0B85"/>
    <w:rsid w:val="002E2156"/>
    <w:rsid w:val="003448AF"/>
    <w:rsid w:val="00391327"/>
    <w:rsid w:val="003A5C3A"/>
    <w:rsid w:val="003B3191"/>
    <w:rsid w:val="003C0405"/>
    <w:rsid w:val="003C1F70"/>
    <w:rsid w:val="003D5EC3"/>
    <w:rsid w:val="003E1EF5"/>
    <w:rsid w:val="003F0C9B"/>
    <w:rsid w:val="00401B72"/>
    <w:rsid w:val="004025F9"/>
    <w:rsid w:val="0040465B"/>
    <w:rsid w:val="00415EF9"/>
    <w:rsid w:val="004164BF"/>
    <w:rsid w:val="00422BC5"/>
    <w:rsid w:val="00432E38"/>
    <w:rsid w:val="00442C8D"/>
    <w:rsid w:val="00451249"/>
    <w:rsid w:val="00462EFC"/>
    <w:rsid w:val="004966CC"/>
    <w:rsid w:val="004A684F"/>
    <w:rsid w:val="004D76FF"/>
    <w:rsid w:val="004D7EA2"/>
    <w:rsid w:val="004E2696"/>
    <w:rsid w:val="004E2B90"/>
    <w:rsid w:val="0050069A"/>
    <w:rsid w:val="00523668"/>
    <w:rsid w:val="00527725"/>
    <w:rsid w:val="00527CB5"/>
    <w:rsid w:val="0053177C"/>
    <w:rsid w:val="0057005A"/>
    <w:rsid w:val="00571773"/>
    <w:rsid w:val="0057336C"/>
    <w:rsid w:val="00575C80"/>
    <w:rsid w:val="005822FE"/>
    <w:rsid w:val="005D0C49"/>
    <w:rsid w:val="005E6C8C"/>
    <w:rsid w:val="0060566B"/>
    <w:rsid w:val="0063615A"/>
    <w:rsid w:val="00691F03"/>
    <w:rsid w:val="00697F65"/>
    <w:rsid w:val="006B7998"/>
    <w:rsid w:val="006C07B3"/>
    <w:rsid w:val="006D2318"/>
    <w:rsid w:val="0070217A"/>
    <w:rsid w:val="00723726"/>
    <w:rsid w:val="007326C1"/>
    <w:rsid w:val="0075624C"/>
    <w:rsid w:val="0076282F"/>
    <w:rsid w:val="007636EE"/>
    <w:rsid w:val="00764D0B"/>
    <w:rsid w:val="007806A8"/>
    <w:rsid w:val="007B0624"/>
    <w:rsid w:val="007C2FB0"/>
    <w:rsid w:val="00823849"/>
    <w:rsid w:val="0084736E"/>
    <w:rsid w:val="00872F44"/>
    <w:rsid w:val="00876954"/>
    <w:rsid w:val="0089006B"/>
    <w:rsid w:val="008E3AB8"/>
    <w:rsid w:val="008F1E9F"/>
    <w:rsid w:val="008F69DE"/>
    <w:rsid w:val="009235D3"/>
    <w:rsid w:val="009633B9"/>
    <w:rsid w:val="009660F6"/>
    <w:rsid w:val="00977BA2"/>
    <w:rsid w:val="0099476A"/>
    <w:rsid w:val="009A3ED6"/>
    <w:rsid w:val="009C12D0"/>
    <w:rsid w:val="009D4498"/>
    <w:rsid w:val="009E2524"/>
    <w:rsid w:val="009F3628"/>
    <w:rsid w:val="00A001C7"/>
    <w:rsid w:val="00A00C50"/>
    <w:rsid w:val="00A00EBD"/>
    <w:rsid w:val="00A11DDB"/>
    <w:rsid w:val="00A27051"/>
    <w:rsid w:val="00A37201"/>
    <w:rsid w:val="00A507FE"/>
    <w:rsid w:val="00AA643C"/>
    <w:rsid w:val="00AA6840"/>
    <w:rsid w:val="00AB1B4B"/>
    <w:rsid w:val="00AB3AEF"/>
    <w:rsid w:val="00AD047F"/>
    <w:rsid w:val="00AD6DAD"/>
    <w:rsid w:val="00AE148D"/>
    <w:rsid w:val="00AE2387"/>
    <w:rsid w:val="00AF65BD"/>
    <w:rsid w:val="00AF79EA"/>
    <w:rsid w:val="00B21F74"/>
    <w:rsid w:val="00B261CF"/>
    <w:rsid w:val="00B262BD"/>
    <w:rsid w:val="00B3723F"/>
    <w:rsid w:val="00B37BD8"/>
    <w:rsid w:val="00B4050C"/>
    <w:rsid w:val="00B419C1"/>
    <w:rsid w:val="00B74D3B"/>
    <w:rsid w:val="00B85B26"/>
    <w:rsid w:val="00B87C29"/>
    <w:rsid w:val="00B92AF5"/>
    <w:rsid w:val="00BA0CDB"/>
    <w:rsid w:val="00BA22CE"/>
    <w:rsid w:val="00BA50BE"/>
    <w:rsid w:val="00BB149A"/>
    <w:rsid w:val="00BB6F65"/>
    <w:rsid w:val="00BC7C5A"/>
    <w:rsid w:val="00BD51B5"/>
    <w:rsid w:val="00C02F43"/>
    <w:rsid w:val="00C1300F"/>
    <w:rsid w:val="00C25843"/>
    <w:rsid w:val="00C43807"/>
    <w:rsid w:val="00C51EFB"/>
    <w:rsid w:val="00C53C26"/>
    <w:rsid w:val="00C614C1"/>
    <w:rsid w:val="00C74E43"/>
    <w:rsid w:val="00CE3468"/>
    <w:rsid w:val="00CE38A9"/>
    <w:rsid w:val="00CF5303"/>
    <w:rsid w:val="00D13160"/>
    <w:rsid w:val="00D27A54"/>
    <w:rsid w:val="00D36B26"/>
    <w:rsid w:val="00D52D29"/>
    <w:rsid w:val="00D56A8D"/>
    <w:rsid w:val="00D74CFC"/>
    <w:rsid w:val="00D847D8"/>
    <w:rsid w:val="00DB3B1A"/>
    <w:rsid w:val="00DC3AFA"/>
    <w:rsid w:val="00DF1190"/>
    <w:rsid w:val="00DF5C7F"/>
    <w:rsid w:val="00E019C9"/>
    <w:rsid w:val="00E103B5"/>
    <w:rsid w:val="00E14710"/>
    <w:rsid w:val="00E26A01"/>
    <w:rsid w:val="00E369BD"/>
    <w:rsid w:val="00E46B0D"/>
    <w:rsid w:val="00E7771B"/>
    <w:rsid w:val="00E81604"/>
    <w:rsid w:val="00EB53A7"/>
    <w:rsid w:val="00EF0093"/>
    <w:rsid w:val="00F050B5"/>
    <w:rsid w:val="00F44275"/>
    <w:rsid w:val="00F542E6"/>
    <w:rsid w:val="00F65523"/>
    <w:rsid w:val="00F71443"/>
    <w:rsid w:val="00FA1A13"/>
    <w:rsid w:val="00FA7E17"/>
    <w:rsid w:val="00FE6A39"/>
    <w:rsid w:val="00FF18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1C4116"/>
      <w:kern w:val="0"/>
      <w:sz w:val="20"/>
      <w:szCs w:val="20"/>
      <w:lang/>
    </w:rPr>
  </w:style>
  <w:style w:type="paragraph" w:styleId="a3">
    <w:name w:val="footer"/>
    <w:basedOn w:val="a"/>
    <w:semiHidden/>
    <w:pPr>
      <w:tabs>
        <w:tab w:val="center" w:pos="4153"/>
        <w:tab w:val="right" w:pos="8306"/>
      </w:tabs>
      <w:snapToGrid w:val="0"/>
    </w:pPr>
    <w:rPr>
      <w:sz w:val="20"/>
      <w:szCs w:val="20"/>
    </w:rPr>
  </w:style>
  <w:style w:type="paragraph" w:styleId="a4">
    <w:name w:val="header"/>
    <w:basedOn w:val="a"/>
    <w:semiHidden/>
    <w:pPr>
      <w:tabs>
        <w:tab w:val="center" w:pos="4153"/>
        <w:tab w:val="right" w:pos="8306"/>
      </w:tabs>
      <w:snapToGrid w:val="0"/>
    </w:pPr>
    <w:rPr>
      <w:sz w:val="20"/>
      <w:szCs w:val="20"/>
    </w:rPr>
  </w:style>
  <w:style w:type="paragraph" w:customStyle="1" w:styleId="a5">
    <w:name w:val="(一)細圓"/>
    <w:basedOn w:val="a"/>
    <w:pPr>
      <w:tabs>
        <w:tab w:val="left" w:pos="1080"/>
      </w:tabs>
      <w:spacing w:line="360" w:lineRule="exact"/>
      <w:ind w:leftChars="254" w:hangingChars="210" w:hanging="210"/>
      <w:jc w:val="both"/>
    </w:pPr>
    <w:rPr>
      <w:rFonts w:eastAsia="文鼎細圓"/>
      <w:kern w:val="0"/>
      <w:sz w:val="22"/>
      <w:szCs w:val="20"/>
    </w:rPr>
  </w:style>
  <w:style w:type="paragraph" w:customStyle="1" w:styleId="1">
    <w:name w:val="1."/>
    <w:basedOn w:val="a"/>
    <w:pPr>
      <w:tabs>
        <w:tab w:val="left" w:pos="1386"/>
      </w:tabs>
      <w:snapToGrid w:val="0"/>
      <w:spacing w:line="360" w:lineRule="exact"/>
      <w:ind w:left="1372" w:hanging="227"/>
      <w:jc w:val="both"/>
    </w:pPr>
    <w:rPr>
      <w:rFonts w:eastAsia="文鼎細圓"/>
      <w:bCs/>
      <w:color w:val="000000"/>
      <w:spacing w:val="2"/>
      <w:sz w:val="22"/>
      <w:szCs w:val="20"/>
    </w:rPr>
  </w:style>
  <w:style w:type="paragraph" w:customStyle="1" w:styleId="10">
    <w:name w:val="內文1"/>
    <w:basedOn w:val="a"/>
    <w:pPr>
      <w:tabs>
        <w:tab w:val="left" w:leader="dot" w:pos="480"/>
      </w:tabs>
      <w:snapToGrid w:val="0"/>
      <w:spacing w:line="360" w:lineRule="exact"/>
      <w:ind w:leftChars="100" w:left="100"/>
      <w:jc w:val="both"/>
    </w:pPr>
    <w:rPr>
      <w:rFonts w:eastAsia="文鼎細圓"/>
      <w:bCs/>
      <w:sz w:val="22"/>
      <w:szCs w:val="20"/>
    </w:rPr>
  </w:style>
  <w:style w:type="character" w:styleId="a6">
    <w:name w:val="Hyperlink"/>
    <w:semiHidden/>
    <w:rPr>
      <w:color w:val="003366"/>
      <w:u w:val="single"/>
    </w:rPr>
  </w:style>
  <w:style w:type="character" w:customStyle="1" w:styleId="HTML0">
    <w:name w:val="HTML 預設格式 字元"/>
    <w:link w:val="HTML"/>
    <w:uiPriority w:val="99"/>
    <w:semiHidden/>
    <w:rsid w:val="004E2B90"/>
    <w:rPr>
      <w:rFonts w:ascii="Arial Unicode MS" w:eastAsia="Arial Unicode MS" w:hAnsi="Arial Unicode MS"/>
      <w:color w:val="1C4116"/>
    </w:rPr>
  </w:style>
</w:styles>
</file>

<file path=word/webSettings.xml><?xml version="1.0" encoding="utf-8"?>
<w:webSettings xmlns:r="http://schemas.openxmlformats.org/officeDocument/2006/relationships" xmlns:w="http://schemas.openxmlformats.org/wordprocessingml/2006/main">
  <w:divs>
    <w:div w:id="45763425">
      <w:bodyDiv w:val="1"/>
      <w:marLeft w:val="0"/>
      <w:marRight w:val="0"/>
      <w:marTop w:val="0"/>
      <w:marBottom w:val="0"/>
      <w:divBdr>
        <w:top w:val="none" w:sz="0" w:space="0" w:color="auto"/>
        <w:left w:val="none" w:sz="0" w:space="0" w:color="auto"/>
        <w:bottom w:val="none" w:sz="0" w:space="0" w:color="auto"/>
        <w:right w:val="none" w:sz="0" w:space="0" w:color="auto"/>
      </w:divBdr>
    </w:div>
    <w:div w:id="317610744">
      <w:bodyDiv w:val="1"/>
      <w:marLeft w:val="0"/>
      <w:marRight w:val="0"/>
      <w:marTop w:val="0"/>
      <w:marBottom w:val="0"/>
      <w:divBdr>
        <w:top w:val="none" w:sz="0" w:space="0" w:color="auto"/>
        <w:left w:val="none" w:sz="0" w:space="0" w:color="auto"/>
        <w:bottom w:val="none" w:sz="0" w:space="0" w:color="auto"/>
        <w:right w:val="none" w:sz="0" w:space="0" w:color="auto"/>
      </w:divBdr>
    </w:div>
    <w:div w:id="356542609">
      <w:bodyDiv w:val="1"/>
      <w:marLeft w:val="0"/>
      <w:marRight w:val="0"/>
      <w:marTop w:val="0"/>
      <w:marBottom w:val="0"/>
      <w:divBdr>
        <w:top w:val="none" w:sz="0" w:space="0" w:color="auto"/>
        <w:left w:val="none" w:sz="0" w:space="0" w:color="auto"/>
        <w:bottom w:val="none" w:sz="0" w:space="0" w:color="auto"/>
        <w:right w:val="none" w:sz="0" w:space="0" w:color="auto"/>
      </w:divBdr>
    </w:div>
    <w:div w:id="1124740082">
      <w:bodyDiv w:val="1"/>
      <w:marLeft w:val="0"/>
      <w:marRight w:val="0"/>
      <w:marTop w:val="0"/>
      <w:marBottom w:val="0"/>
      <w:divBdr>
        <w:top w:val="none" w:sz="0" w:space="0" w:color="auto"/>
        <w:left w:val="none" w:sz="0" w:space="0" w:color="auto"/>
        <w:bottom w:val="none" w:sz="0" w:space="0" w:color="auto"/>
        <w:right w:val="none" w:sz="0" w:space="0" w:color="auto"/>
      </w:divBdr>
    </w:div>
    <w:div w:id="14905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sfi</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dc:creator>
  <cp:lastModifiedBy>emily</cp:lastModifiedBy>
  <cp:revision>2</cp:revision>
  <cp:lastPrinted>2017-11-06T03:44:00Z</cp:lastPrinted>
  <dcterms:created xsi:type="dcterms:W3CDTF">2017-11-06T07:59:00Z</dcterms:created>
  <dcterms:modified xsi:type="dcterms:W3CDTF">2017-11-06T07:59:00Z</dcterms:modified>
</cp:coreProperties>
</file>