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DF" w:rsidRPr="007B3FB0" w:rsidRDefault="005B64BB" w:rsidP="007B3FB0">
      <w:pPr>
        <w:ind w:firstLineChars="96"/>
        <w:rPr>
          <w:rFonts w:ascii="標楷體" w:eastAsia="標楷體" w:hAnsi="標楷體"/>
          <w:snapToGrid w:val="0"/>
          <w:color w:val="000066"/>
          <w:w w:val="97"/>
          <w:kern w:val="46"/>
          <w:sz w:val="52"/>
          <w:szCs w:val="52"/>
        </w:rPr>
      </w:pPr>
      <w:r w:rsidRPr="00B70D2B">
        <w:rPr>
          <w:rFonts w:ascii="華康流隸體W5" w:eastAsia="華康流隸體W5" w:hint="eastAsia"/>
          <w:noProof/>
          <w:color w:val="FF0000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2BCCFAE3" wp14:editId="71C19DA5">
            <wp:simplePos x="0" y="0"/>
            <wp:positionH relativeFrom="column">
              <wp:posOffset>830580</wp:posOffset>
            </wp:positionH>
            <wp:positionV relativeFrom="paragraph">
              <wp:posOffset>1477010</wp:posOffset>
            </wp:positionV>
            <wp:extent cx="5324475" cy="1419225"/>
            <wp:effectExtent l="19050" t="0" r="9525" b="0"/>
            <wp:wrapNone/>
            <wp:docPr id="3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華康流隸體W5" w:eastAsia="華康流隸體W5" w:hint="eastAsia"/>
          <w:color w:val="FF0000"/>
          <w:sz w:val="48"/>
          <w:szCs w:val="48"/>
        </w:rPr>
        <w:t xml:space="preserve">  </w:t>
      </w:r>
      <w:r w:rsidRPr="00A90019">
        <w:rPr>
          <w:rFonts w:ascii="華康流隸體W5" w:eastAsia="華康流隸體W5" w:hint="eastAsia"/>
          <w:color w:val="FF0000"/>
          <w:sz w:val="52"/>
          <w:szCs w:val="52"/>
        </w:rPr>
        <w:t xml:space="preserve">  </w:t>
      </w:r>
      <w:r w:rsidRPr="00A90019">
        <w:rPr>
          <w:rFonts w:eastAsia="標楷體" w:hint="eastAsia"/>
          <w:b/>
          <w:color w:val="FF0000"/>
          <w:sz w:val="52"/>
          <w:szCs w:val="52"/>
        </w:rPr>
        <w:t xml:space="preserve"> </w:t>
      </w:r>
      <w:r w:rsidR="007B3FB0">
        <w:rPr>
          <w:rFonts w:eastAsia="標楷體" w:hint="eastAsia"/>
          <w:b/>
          <w:color w:val="FF0000"/>
          <w:sz w:val="52"/>
          <w:szCs w:val="52"/>
        </w:rPr>
        <w:t xml:space="preserve">　</w:t>
      </w:r>
      <w:proofErr w:type="gramStart"/>
      <w:r w:rsidRPr="00CE74B8">
        <w:rPr>
          <w:rFonts w:ascii="標楷體" w:eastAsia="標楷體" w:hAnsi="標楷體" w:hint="eastAsia"/>
          <w:snapToGrid w:val="0"/>
          <w:color w:val="000066"/>
          <w:w w:val="97"/>
          <w:kern w:val="46"/>
          <w:sz w:val="52"/>
          <w:szCs w:val="52"/>
        </w:rPr>
        <w:t>10</w:t>
      </w:r>
      <w:r w:rsidR="005B156F">
        <w:rPr>
          <w:rFonts w:ascii="標楷體" w:eastAsia="標楷體" w:hAnsi="標楷體" w:hint="eastAsia"/>
          <w:snapToGrid w:val="0"/>
          <w:color w:val="000066"/>
          <w:w w:val="97"/>
          <w:kern w:val="46"/>
          <w:sz w:val="52"/>
          <w:szCs w:val="52"/>
        </w:rPr>
        <w:t>8</w:t>
      </w:r>
      <w:proofErr w:type="gramEnd"/>
      <w:r w:rsidRPr="00CE74B8">
        <w:rPr>
          <w:rFonts w:ascii="標楷體" w:eastAsia="標楷體" w:hAnsi="標楷體" w:hint="eastAsia"/>
          <w:snapToGrid w:val="0"/>
          <w:color w:val="000066"/>
          <w:w w:val="97"/>
          <w:kern w:val="46"/>
          <w:sz w:val="52"/>
          <w:szCs w:val="52"/>
        </w:rPr>
        <w:t>年度優秀論文得獎論文</w:t>
      </w:r>
      <w:r w:rsidR="00D555AC" w:rsidRPr="00CE74B8">
        <w:rPr>
          <w:rFonts w:ascii="標楷體" w:eastAsia="標楷體" w:hAnsi="標楷體" w:hint="eastAsia"/>
          <w:snapToGrid w:val="0"/>
          <w:color w:val="000066"/>
          <w:w w:val="97"/>
          <w:kern w:val="46"/>
          <w:sz w:val="52"/>
          <w:szCs w:val="52"/>
        </w:rPr>
        <w:t>摘要</w:t>
      </w:r>
      <w:r w:rsidR="00EE6DD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055110" wp14:editId="7503BB09">
                <wp:simplePos x="0" y="0"/>
                <wp:positionH relativeFrom="column">
                  <wp:posOffset>487680</wp:posOffset>
                </wp:positionH>
                <wp:positionV relativeFrom="paragraph">
                  <wp:posOffset>631190</wp:posOffset>
                </wp:positionV>
                <wp:extent cx="6038850" cy="7305675"/>
                <wp:effectExtent l="0" t="0" r="19050" b="2857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730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56F" w:rsidRDefault="005B156F" w:rsidP="00EE6DDF">
                            <w:pPr>
                              <w:pStyle w:val="1"/>
                              <w:keepNext w:val="0"/>
                              <w:tabs>
                                <w:tab w:val="left" w:pos="6379"/>
                              </w:tabs>
                              <w:adjustRightInd w:val="0"/>
                              <w:snapToGrid w:val="0"/>
                              <w:spacing w:beforeLines="50" w:after="0" w:line="480" w:lineRule="exact"/>
                              <w:ind w:left="-28" w:right="-28" w:firstLineChars="0" w:firstLine="0"/>
                              <w:textAlignment w:val="top"/>
                              <w:rPr>
                                <w:rFonts w:ascii="標楷體" w:eastAsia="標楷體" w:hAnsi="標楷體"/>
                                <w:snapToGrid w:val="0"/>
                                <w:color w:val="000066"/>
                                <w:w w:val="97"/>
                                <w:kern w:val="46"/>
                                <w:sz w:val="40"/>
                                <w:szCs w:val="40"/>
                              </w:rPr>
                            </w:pPr>
                            <w:r w:rsidRPr="005B156F">
                              <w:rPr>
                                <w:rFonts w:ascii="標楷體" w:eastAsia="標楷體" w:hAnsi="標楷體" w:hint="eastAsia"/>
                                <w:snapToGrid w:val="0"/>
                                <w:color w:val="000066"/>
                                <w:w w:val="97"/>
                                <w:kern w:val="46"/>
                                <w:sz w:val="40"/>
                                <w:szCs w:val="40"/>
                              </w:rPr>
                              <w:t>企業社會責任，實質盈餘管理及傳遞未來績效資訊：以達成公司盈餘目標為例</w:t>
                            </w:r>
                          </w:p>
                          <w:p w:rsidR="0017584F" w:rsidRDefault="0017584F" w:rsidP="00EE6DDF">
                            <w:pPr>
                              <w:pStyle w:val="1"/>
                              <w:keepNext w:val="0"/>
                              <w:tabs>
                                <w:tab w:val="left" w:pos="6379"/>
                              </w:tabs>
                              <w:adjustRightInd w:val="0"/>
                              <w:snapToGrid w:val="0"/>
                              <w:spacing w:beforeLines="50" w:after="0" w:line="480" w:lineRule="exact"/>
                              <w:ind w:left="-28" w:right="-28" w:firstLineChars="0" w:firstLine="0"/>
                              <w:textAlignment w:val="top"/>
                              <w:rPr>
                                <w:rFonts w:eastAsia="標楷體"/>
                                <w:color w:val="00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66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6B7E4F" w:rsidRDefault="0017584F" w:rsidP="00EE6DDF">
                            <w:pPr>
                              <w:pStyle w:val="1"/>
                              <w:keepNext w:val="0"/>
                              <w:tabs>
                                <w:tab w:val="left" w:pos="6379"/>
                              </w:tabs>
                              <w:adjustRightInd w:val="0"/>
                              <w:snapToGrid w:val="0"/>
                              <w:spacing w:beforeLines="50" w:after="0" w:line="480" w:lineRule="exact"/>
                              <w:ind w:left="-28" w:right="-28" w:firstLineChars="0" w:firstLine="0"/>
                              <w:textAlignment w:val="top"/>
                              <w:rPr>
                                <w:rFonts w:eastAsia="標楷體"/>
                                <w:color w:val="00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66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5B156F" w:rsidRPr="005B156F">
                              <w:rPr>
                                <w:rFonts w:eastAsia="標楷體" w:hint="eastAsia"/>
                                <w:color w:val="000066"/>
                                <w:sz w:val="32"/>
                                <w:szCs w:val="32"/>
                              </w:rPr>
                              <w:t>郭啟賢副教授</w:t>
                            </w:r>
                            <w:r w:rsidR="005B156F" w:rsidRPr="005B156F">
                              <w:rPr>
                                <w:rFonts w:eastAsia="標楷體" w:hint="eastAsia"/>
                                <w:color w:val="000066"/>
                                <w:sz w:val="32"/>
                                <w:szCs w:val="32"/>
                              </w:rPr>
                              <w:t>(</w:t>
                            </w:r>
                            <w:r w:rsidR="005B156F" w:rsidRPr="005B156F">
                              <w:rPr>
                                <w:rFonts w:eastAsia="標楷體" w:hint="eastAsia"/>
                                <w:color w:val="000066"/>
                                <w:sz w:val="32"/>
                                <w:szCs w:val="32"/>
                              </w:rPr>
                              <w:t>國立台灣科技大學企管系</w:t>
                            </w:r>
                            <w:r w:rsidR="005B156F" w:rsidRPr="005B156F">
                              <w:rPr>
                                <w:rFonts w:eastAsia="標楷體" w:hint="eastAsia"/>
                                <w:color w:val="000066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EE6DDF" w:rsidRDefault="0031175D" w:rsidP="00EE6DDF">
                            <w:pPr>
                              <w:pStyle w:val="1"/>
                              <w:keepNext w:val="0"/>
                              <w:tabs>
                                <w:tab w:val="left" w:pos="6379"/>
                              </w:tabs>
                              <w:adjustRightInd w:val="0"/>
                              <w:snapToGrid w:val="0"/>
                              <w:spacing w:beforeLines="50" w:after="0" w:line="480" w:lineRule="exact"/>
                              <w:ind w:left="-28" w:right="-28" w:firstLineChars="0" w:firstLine="0"/>
                              <w:textAlignment w:val="top"/>
                              <w:rPr>
                                <w:rFonts w:eastAsia="標楷體"/>
                                <w:color w:val="00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66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5B156F">
                              <w:rPr>
                                <w:rFonts w:eastAsia="標楷體" w:hint="eastAsia"/>
                                <w:color w:val="000066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5B156F" w:rsidRPr="005B156F">
                              <w:rPr>
                                <w:rFonts w:eastAsia="標楷體" w:hint="eastAsia"/>
                                <w:color w:val="000066"/>
                                <w:sz w:val="32"/>
                                <w:szCs w:val="32"/>
                              </w:rPr>
                              <w:t>余</w:t>
                            </w:r>
                            <w:proofErr w:type="gramEnd"/>
                            <w:r w:rsidR="005B156F" w:rsidRPr="005B156F">
                              <w:rPr>
                                <w:rFonts w:eastAsia="標楷體" w:hint="eastAsia"/>
                                <w:color w:val="000066"/>
                                <w:sz w:val="32"/>
                                <w:szCs w:val="32"/>
                              </w:rPr>
                              <w:t>士</w:t>
                            </w:r>
                            <w:proofErr w:type="gramStart"/>
                            <w:r w:rsidR="005B156F" w:rsidRPr="005B156F">
                              <w:rPr>
                                <w:rFonts w:eastAsia="標楷體" w:hint="eastAsia"/>
                                <w:color w:val="000066"/>
                                <w:sz w:val="32"/>
                                <w:szCs w:val="32"/>
                              </w:rPr>
                              <w:t>迪</w:t>
                            </w:r>
                            <w:proofErr w:type="gramEnd"/>
                            <w:r w:rsidR="005B156F" w:rsidRPr="005B156F">
                              <w:rPr>
                                <w:rFonts w:eastAsia="標楷體" w:hint="eastAsia"/>
                                <w:color w:val="000066"/>
                                <w:sz w:val="32"/>
                                <w:szCs w:val="32"/>
                              </w:rPr>
                              <w:t>教授</w:t>
                            </w:r>
                            <w:r w:rsidR="005B156F" w:rsidRPr="005B156F">
                              <w:rPr>
                                <w:rFonts w:eastAsia="標楷體" w:hint="eastAsia"/>
                                <w:color w:val="000066"/>
                                <w:sz w:val="32"/>
                                <w:szCs w:val="32"/>
                              </w:rPr>
                              <w:t>(</w:t>
                            </w:r>
                            <w:r w:rsidR="005B156F" w:rsidRPr="005B156F">
                              <w:rPr>
                                <w:rFonts w:eastAsia="標楷體" w:hint="eastAsia"/>
                                <w:color w:val="000066"/>
                                <w:sz w:val="32"/>
                                <w:szCs w:val="32"/>
                              </w:rPr>
                              <w:t>國立清華大學計量財務金融學系</w:t>
                            </w:r>
                            <w:r w:rsidR="005B156F" w:rsidRPr="005B156F">
                              <w:rPr>
                                <w:rFonts w:eastAsia="標楷體" w:hint="eastAsia"/>
                                <w:color w:val="000066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B156F" w:rsidRPr="005B156F" w:rsidRDefault="005B156F" w:rsidP="005B156F">
                            <w:pPr>
                              <w:ind w:firstLineChars="620" w:firstLine="1984"/>
                              <w:rPr>
                                <w:rFonts w:eastAsia="標楷體"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5B156F">
                              <w:rPr>
                                <w:rFonts w:eastAsia="標楷體" w:hint="eastAsia"/>
                                <w:color w:val="000066"/>
                                <w:sz w:val="32"/>
                                <w:szCs w:val="32"/>
                              </w:rPr>
                              <w:t>彭紫寧小姐</w:t>
                            </w:r>
                            <w:r w:rsidRPr="005B156F">
                              <w:rPr>
                                <w:rFonts w:eastAsia="標楷體" w:hint="eastAsia"/>
                                <w:color w:val="000066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5B156F">
                              <w:rPr>
                                <w:rFonts w:eastAsia="標楷體" w:hint="eastAsia"/>
                                <w:color w:val="000066"/>
                                <w:sz w:val="32"/>
                                <w:szCs w:val="32"/>
                              </w:rPr>
                              <w:t>勤業眾信</w:t>
                            </w:r>
                            <w:proofErr w:type="gramEnd"/>
                            <w:r w:rsidRPr="005B156F">
                              <w:rPr>
                                <w:rFonts w:eastAsia="標楷體" w:hint="eastAsia"/>
                                <w:color w:val="000066"/>
                                <w:sz w:val="32"/>
                                <w:szCs w:val="32"/>
                              </w:rPr>
                              <w:t>會計師事務所</w:t>
                            </w:r>
                            <w:r w:rsidRPr="005B156F">
                              <w:rPr>
                                <w:rFonts w:eastAsia="標楷體" w:hint="eastAsia"/>
                                <w:color w:val="000066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962FC" w:rsidRDefault="001962FC" w:rsidP="001962FC">
                            <w:pPr>
                              <w:ind w:firstLine="420"/>
                            </w:pPr>
                          </w:p>
                          <w:p w:rsidR="005B156F" w:rsidRDefault="005B156F" w:rsidP="005B156F">
                            <w:pPr>
                              <w:autoSpaceDE w:val="0"/>
                              <w:autoSpaceDN w:val="0"/>
                              <w:adjustRightInd w:val="0"/>
                              <w:ind w:leftChars="50" w:left="105" w:rightChars="50" w:right="105" w:firstLineChars="0" w:firstLine="0"/>
                              <w:jc w:val="lef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5B156F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本研究探討兩問題：第一、積極參與企業社會責任公司(亦即CSR績效高於樣本中位數者，以下稱「高CSR公司」)是否透過實質盈餘管理(RM)來達成盈餘目標(亦即達成零淨利或去年淨利水準)。第二、若高CSR公司</w:t>
                            </w:r>
                            <w:proofErr w:type="gramStart"/>
                            <w:r w:rsidRPr="005B156F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採</w:t>
                            </w:r>
                            <w:proofErr w:type="gramEnd"/>
                            <w:r w:rsidRPr="005B156F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RM來達成盈餘目標，可能的動機為何？研究結果發現，就樣本整體而言，公司會透過過度生產存貨的作法來達成盈餘目標。此結果符合「多重目的」及「訊息傳遞」假說。進一步分析發現，低CSR公司透過RM來達成盈餘目標可能肇因於投機因素。相反地，高CSR公司較可能為了維護公司信譽。</w:t>
                            </w:r>
                          </w:p>
                          <w:p w:rsidR="00EE6DDF" w:rsidRDefault="0017584F" w:rsidP="00EE6DDF">
                            <w:pPr>
                              <w:autoSpaceDE w:val="0"/>
                              <w:autoSpaceDN w:val="0"/>
                              <w:adjustRightInd w:val="0"/>
                              <w:ind w:leftChars="50" w:left="105" w:rightChars="50" w:right="105" w:firstLineChars="0" w:firstLine="0"/>
                              <w:jc w:val="center"/>
                              <w:rPr>
                                <w:rFonts w:eastAsia="標楷體"/>
                                <w:color w:val="0066CC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66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6DDF" w:rsidRPr="00875300">
                              <w:rPr>
                                <w:rFonts w:eastAsia="標楷體" w:hint="eastAsia"/>
                                <w:color w:val="000066"/>
                                <w:spacing w:val="-20"/>
                                <w:sz w:val="32"/>
                                <w:szCs w:val="32"/>
                              </w:rPr>
                              <w:t>第</w:t>
                            </w:r>
                            <w:r w:rsidR="00601E11">
                              <w:rPr>
                                <w:rFonts w:eastAsia="標楷體" w:hint="eastAsia"/>
                                <w:color w:val="000066"/>
                                <w:spacing w:val="-20"/>
                                <w:sz w:val="32"/>
                                <w:szCs w:val="32"/>
                              </w:rPr>
                              <w:t>121</w:t>
                            </w:r>
                            <w:r w:rsidR="00EE6DDF" w:rsidRPr="00875300">
                              <w:rPr>
                                <w:rFonts w:eastAsia="標楷體" w:hint="eastAsia"/>
                                <w:color w:val="000066"/>
                                <w:spacing w:val="-20"/>
                                <w:sz w:val="32"/>
                                <w:szCs w:val="32"/>
                              </w:rPr>
                              <w:t>期，</w:t>
                            </w:r>
                            <w:r w:rsidR="005B156F">
                              <w:rPr>
                                <w:rFonts w:eastAsia="標楷體" w:hint="eastAsia"/>
                                <w:color w:val="000066"/>
                                <w:spacing w:val="-20"/>
                                <w:sz w:val="32"/>
                                <w:szCs w:val="32"/>
                              </w:rPr>
                              <w:t>108</w:t>
                            </w:r>
                            <w:r w:rsidR="00EE6DDF" w:rsidRPr="00875300">
                              <w:rPr>
                                <w:rFonts w:eastAsia="標楷體" w:hint="eastAsia"/>
                                <w:color w:val="000066"/>
                                <w:spacing w:val="-20"/>
                                <w:sz w:val="32"/>
                                <w:szCs w:val="32"/>
                              </w:rPr>
                              <w:t>年</w:t>
                            </w:r>
                            <w:r w:rsidR="00227E27">
                              <w:rPr>
                                <w:rFonts w:eastAsia="標楷體" w:hint="eastAsia"/>
                                <w:color w:val="000066"/>
                                <w:spacing w:val="-20"/>
                                <w:sz w:val="32"/>
                                <w:szCs w:val="32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EE6DDF" w:rsidRPr="00875300">
                              <w:rPr>
                                <w:rFonts w:eastAsia="標楷體" w:hint="eastAsia"/>
                                <w:color w:val="000066"/>
                                <w:spacing w:val="-20"/>
                                <w:sz w:val="32"/>
                                <w:szCs w:val="32"/>
                              </w:rPr>
                              <w:t>月第</w:t>
                            </w:r>
                            <w:r w:rsidR="005B156F">
                              <w:rPr>
                                <w:rFonts w:eastAsia="標楷體" w:hint="eastAsia"/>
                                <w:color w:val="000066"/>
                                <w:spacing w:val="-20"/>
                                <w:sz w:val="32"/>
                                <w:szCs w:val="32"/>
                              </w:rPr>
                              <w:t>31</w:t>
                            </w:r>
                            <w:r w:rsidR="00EE6DDF" w:rsidRPr="00875300">
                              <w:rPr>
                                <w:rFonts w:eastAsia="標楷體" w:hint="eastAsia"/>
                                <w:color w:val="000066"/>
                                <w:spacing w:val="-20"/>
                                <w:sz w:val="32"/>
                                <w:szCs w:val="32"/>
                              </w:rPr>
                              <w:t>卷第</w:t>
                            </w:r>
                            <w:r w:rsidR="00601E11">
                              <w:rPr>
                                <w:rFonts w:eastAsia="標楷體" w:hint="eastAsia"/>
                                <w:color w:val="000066"/>
                                <w:spacing w:val="-20"/>
                                <w:sz w:val="32"/>
                                <w:szCs w:val="32"/>
                              </w:rPr>
                              <w:t>1</w:t>
                            </w:r>
                            <w:r w:rsidR="00EE6DDF" w:rsidRPr="00875300">
                              <w:rPr>
                                <w:rFonts w:eastAsia="標楷體" w:hint="eastAsia"/>
                                <w:color w:val="000066"/>
                                <w:spacing w:val="-20"/>
                                <w:sz w:val="32"/>
                                <w:szCs w:val="32"/>
                              </w:rPr>
                              <w:t>期</w:t>
                            </w:r>
                          </w:p>
                          <w:p w:rsidR="00EE6DDF" w:rsidRPr="00DA3F20" w:rsidRDefault="00EE6DDF" w:rsidP="00EE6DDF">
                            <w:pPr>
                              <w:overflowPunct w:val="0"/>
                              <w:adjustRightInd w:val="0"/>
                              <w:snapToGrid w:val="0"/>
                              <w:spacing w:beforeLines="50" w:before="180" w:line="440" w:lineRule="exact"/>
                              <w:ind w:leftChars="200" w:left="420" w:rightChars="135" w:right="283" w:firstLineChars="0" w:firstLine="573"/>
                              <w:jc w:val="center"/>
                              <w:rPr>
                                <w:rFonts w:eastAsia="標楷體"/>
                                <w:color w:val="000066"/>
                                <w:spacing w:val="-20"/>
                                <w:sz w:val="32"/>
                                <w:szCs w:val="32"/>
                              </w:rPr>
                            </w:pPr>
                          </w:p>
                          <w:p w:rsidR="00EE6DDF" w:rsidRDefault="00EE6DDF" w:rsidP="00EE6DDF">
                            <w:pPr>
                              <w:overflowPunct w:val="0"/>
                              <w:adjustRightInd w:val="0"/>
                              <w:snapToGrid w:val="0"/>
                              <w:spacing w:beforeLines="50" w:before="180" w:line="440" w:lineRule="exact"/>
                              <w:ind w:leftChars="200" w:left="420" w:rightChars="135" w:right="283" w:firstLineChars="0" w:firstLine="573"/>
                              <w:jc w:val="center"/>
                              <w:rPr>
                                <w:rFonts w:ascii="新細明體" w:eastAsiaTheme="minorEastAsia" w:hAnsiTheme="minorHAnsi" w:cs="新細明體"/>
                                <w:kern w:val="0"/>
                                <w:szCs w:val="21"/>
                              </w:rPr>
                            </w:pPr>
                          </w:p>
                          <w:p w:rsidR="00EE6DDF" w:rsidRDefault="00EE6DDF" w:rsidP="00EE6DDF">
                            <w:pPr>
                              <w:overflowPunct w:val="0"/>
                              <w:adjustRightInd w:val="0"/>
                              <w:snapToGrid w:val="0"/>
                              <w:spacing w:beforeLines="50" w:before="180" w:line="440" w:lineRule="exact"/>
                              <w:ind w:leftChars="200" w:left="420" w:rightChars="135" w:right="283" w:firstLineChars="0" w:firstLine="573"/>
                              <w:jc w:val="center"/>
                              <w:rPr>
                                <w:rFonts w:ascii="新細明體" w:eastAsiaTheme="minorEastAsia" w:hAnsiTheme="minorHAnsi" w:cs="新細明體"/>
                                <w:kern w:val="0"/>
                                <w:szCs w:val="21"/>
                              </w:rPr>
                            </w:pPr>
                          </w:p>
                          <w:p w:rsidR="00EE6DDF" w:rsidRDefault="00EE6DDF" w:rsidP="00EE6DDF">
                            <w:pPr>
                              <w:overflowPunct w:val="0"/>
                              <w:adjustRightInd w:val="0"/>
                              <w:snapToGrid w:val="0"/>
                              <w:spacing w:beforeLines="50" w:before="180" w:line="440" w:lineRule="exact"/>
                              <w:ind w:leftChars="200" w:left="420" w:rightChars="135" w:right="283" w:firstLineChars="0" w:firstLine="573"/>
                              <w:jc w:val="center"/>
                              <w:rPr>
                                <w:rFonts w:ascii="新細明體" w:eastAsiaTheme="minorEastAsia" w:hAnsiTheme="minorHAnsi" w:cs="新細明體"/>
                                <w:kern w:val="0"/>
                                <w:szCs w:val="21"/>
                              </w:rPr>
                            </w:pPr>
                          </w:p>
                          <w:p w:rsidR="00EE6DDF" w:rsidRPr="00DA3F20" w:rsidRDefault="00EE6DDF" w:rsidP="00EE6DDF">
                            <w:pPr>
                              <w:overflowPunct w:val="0"/>
                              <w:adjustRightInd w:val="0"/>
                              <w:snapToGrid w:val="0"/>
                              <w:spacing w:beforeLines="50" w:before="180" w:line="440" w:lineRule="exact"/>
                              <w:ind w:leftChars="200" w:left="420" w:rightChars="135" w:right="283" w:firstLineChars="0" w:firstLine="573"/>
                              <w:jc w:val="center"/>
                              <w:rPr>
                                <w:rFonts w:eastAsia="標楷體"/>
                                <w:color w:val="000066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DA3F20">
                              <w:rPr>
                                <w:rFonts w:eastAsia="標楷體" w:hint="eastAsia"/>
                                <w:color w:val="000066"/>
                                <w:spacing w:val="-20"/>
                                <w:sz w:val="32"/>
                                <w:szCs w:val="32"/>
                              </w:rPr>
                              <w:t>第</w:t>
                            </w:r>
                            <w:r w:rsidRPr="00DA3F20">
                              <w:rPr>
                                <w:rFonts w:eastAsia="標楷體" w:hint="eastAsia"/>
                                <w:color w:val="000066"/>
                                <w:spacing w:val="-20"/>
                                <w:sz w:val="32"/>
                                <w:szCs w:val="32"/>
                              </w:rPr>
                              <w:t>114</w:t>
                            </w:r>
                            <w:r w:rsidRPr="00DA3F20">
                              <w:rPr>
                                <w:rFonts w:eastAsia="標楷體" w:hint="eastAsia"/>
                                <w:color w:val="000066"/>
                                <w:spacing w:val="-20"/>
                                <w:sz w:val="32"/>
                                <w:szCs w:val="32"/>
                              </w:rPr>
                              <w:t>期，</w:t>
                            </w:r>
                            <w:r w:rsidRPr="00DA3F20">
                              <w:rPr>
                                <w:rFonts w:eastAsia="標楷體" w:hint="eastAsia"/>
                                <w:color w:val="000066"/>
                                <w:spacing w:val="-20"/>
                                <w:sz w:val="32"/>
                                <w:szCs w:val="32"/>
                              </w:rPr>
                              <w:t>106</w:t>
                            </w:r>
                            <w:r w:rsidRPr="00DA3F20">
                              <w:rPr>
                                <w:rFonts w:eastAsia="標楷體" w:hint="eastAsia"/>
                                <w:color w:val="000066"/>
                                <w:spacing w:val="-20"/>
                                <w:sz w:val="32"/>
                                <w:szCs w:val="32"/>
                              </w:rPr>
                              <w:t>年</w:t>
                            </w:r>
                            <w:r w:rsidRPr="00DA3F20">
                              <w:rPr>
                                <w:rFonts w:eastAsia="標楷體" w:hint="eastAsia"/>
                                <w:color w:val="000066"/>
                                <w:spacing w:val="-20"/>
                                <w:sz w:val="32"/>
                                <w:szCs w:val="32"/>
                              </w:rPr>
                              <w:t>6</w:t>
                            </w:r>
                            <w:r w:rsidRPr="00DA3F20">
                              <w:rPr>
                                <w:rFonts w:eastAsia="標楷體" w:hint="eastAsia"/>
                                <w:color w:val="000066"/>
                                <w:spacing w:val="-20"/>
                                <w:sz w:val="32"/>
                                <w:szCs w:val="32"/>
                              </w:rPr>
                              <w:t>月第</w:t>
                            </w:r>
                            <w:r w:rsidRPr="00DA3F20">
                              <w:rPr>
                                <w:rFonts w:eastAsia="標楷體" w:hint="eastAsia"/>
                                <w:color w:val="000066"/>
                                <w:spacing w:val="-20"/>
                                <w:sz w:val="32"/>
                                <w:szCs w:val="32"/>
                              </w:rPr>
                              <w:t>29</w:t>
                            </w:r>
                            <w:r w:rsidRPr="00DA3F20">
                              <w:rPr>
                                <w:rFonts w:eastAsia="標楷體" w:hint="eastAsia"/>
                                <w:color w:val="000066"/>
                                <w:spacing w:val="-20"/>
                                <w:sz w:val="32"/>
                                <w:szCs w:val="32"/>
                              </w:rPr>
                              <w:t>卷第</w:t>
                            </w:r>
                            <w:r w:rsidRPr="00DA3F20">
                              <w:rPr>
                                <w:rFonts w:eastAsia="標楷體" w:hint="eastAsia"/>
                                <w:color w:val="000066"/>
                                <w:spacing w:val="-20"/>
                                <w:sz w:val="32"/>
                                <w:szCs w:val="32"/>
                              </w:rPr>
                              <w:t>2</w:t>
                            </w:r>
                            <w:r w:rsidRPr="00DA3F20">
                              <w:rPr>
                                <w:rFonts w:eastAsia="標楷體" w:hint="eastAsia"/>
                                <w:color w:val="000066"/>
                                <w:spacing w:val="-20"/>
                                <w:sz w:val="32"/>
                                <w:szCs w:val="32"/>
                              </w:rPr>
                              <w:t>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8.4pt;margin-top:49.7pt;width:475.5pt;height:57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">
                <v:textbox>
                  <w:txbxContent>
                    <w:p w:rsidR="005B156F" w:rsidRDefault="005B156F" w:rsidP="00EE6DDF">
                      <w:pPr>
                        <w:pStyle w:val="1"/>
                        <w:keepNext w:val="0"/>
                        <w:tabs>
                          <w:tab w:val="left" w:pos="6379"/>
                        </w:tabs>
                        <w:adjustRightInd w:val="0"/>
                        <w:snapToGrid w:val="0"/>
                        <w:spacing w:beforeLines="50" w:after="0" w:line="480" w:lineRule="exact"/>
                        <w:ind w:left="-28" w:right="-28" w:firstLineChars="0" w:firstLine="0"/>
                        <w:textAlignment w:val="top"/>
                        <w:rPr>
                          <w:rFonts w:ascii="標楷體" w:eastAsia="標楷體" w:hAnsi="標楷體"/>
                          <w:snapToGrid w:val="0"/>
                          <w:color w:val="000066"/>
                          <w:w w:val="97"/>
                          <w:kern w:val="46"/>
                          <w:sz w:val="40"/>
                          <w:szCs w:val="40"/>
                        </w:rPr>
                      </w:pPr>
                      <w:r w:rsidRPr="005B156F">
                        <w:rPr>
                          <w:rFonts w:ascii="標楷體" w:eastAsia="標楷體" w:hAnsi="標楷體" w:hint="eastAsia"/>
                          <w:snapToGrid w:val="0"/>
                          <w:color w:val="000066"/>
                          <w:w w:val="97"/>
                          <w:kern w:val="46"/>
                          <w:sz w:val="40"/>
                          <w:szCs w:val="40"/>
                        </w:rPr>
                        <w:t>企業社會責任，實質盈餘管理及傳遞未來績效資訊：以達成公司盈餘目標為例</w:t>
                      </w:r>
                    </w:p>
                    <w:p w:rsidR="0017584F" w:rsidRDefault="0017584F" w:rsidP="00EE6DDF">
                      <w:pPr>
                        <w:pStyle w:val="1"/>
                        <w:keepNext w:val="0"/>
                        <w:tabs>
                          <w:tab w:val="left" w:pos="6379"/>
                        </w:tabs>
                        <w:adjustRightInd w:val="0"/>
                        <w:snapToGrid w:val="0"/>
                        <w:spacing w:beforeLines="50" w:after="0" w:line="480" w:lineRule="exact"/>
                        <w:ind w:left="-28" w:right="-28" w:firstLineChars="0" w:firstLine="0"/>
                        <w:textAlignment w:val="top"/>
                        <w:rPr>
                          <w:rFonts w:eastAsia="標楷體"/>
                          <w:color w:val="000066"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int="eastAsia"/>
                          <w:color w:val="000066"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6B7E4F" w:rsidRDefault="0017584F" w:rsidP="00EE6DDF">
                      <w:pPr>
                        <w:pStyle w:val="1"/>
                        <w:keepNext w:val="0"/>
                        <w:tabs>
                          <w:tab w:val="left" w:pos="6379"/>
                        </w:tabs>
                        <w:adjustRightInd w:val="0"/>
                        <w:snapToGrid w:val="0"/>
                        <w:spacing w:beforeLines="50" w:after="0" w:line="480" w:lineRule="exact"/>
                        <w:ind w:left="-28" w:right="-28" w:firstLineChars="0" w:firstLine="0"/>
                        <w:textAlignment w:val="top"/>
                        <w:rPr>
                          <w:rFonts w:eastAsia="標楷體"/>
                          <w:color w:val="000066"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int="eastAsia"/>
                          <w:color w:val="000066"/>
                          <w:sz w:val="32"/>
                          <w:szCs w:val="32"/>
                        </w:rPr>
                        <w:t xml:space="preserve">   </w:t>
                      </w:r>
                      <w:r w:rsidR="005B156F" w:rsidRPr="005B156F">
                        <w:rPr>
                          <w:rFonts w:eastAsia="標楷體" w:hint="eastAsia"/>
                          <w:color w:val="000066"/>
                          <w:sz w:val="32"/>
                          <w:szCs w:val="32"/>
                        </w:rPr>
                        <w:t>郭啟賢副教授</w:t>
                      </w:r>
                      <w:r w:rsidR="005B156F" w:rsidRPr="005B156F">
                        <w:rPr>
                          <w:rFonts w:eastAsia="標楷體" w:hint="eastAsia"/>
                          <w:color w:val="000066"/>
                          <w:sz w:val="32"/>
                          <w:szCs w:val="32"/>
                        </w:rPr>
                        <w:t>(</w:t>
                      </w:r>
                      <w:r w:rsidR="005B156F" w:rsidRPr="005B156F">
                        <w:rPr>
                          <w:rFonts w:eastAsia="標楷體" w:hint="eastAsia"/>
                          <w:color w:val="000066"/>
                          <w:sz w:val="32"/>
                          <w:szCs w:val="32"/>
                        </w:rPr>
                        <w:t>國立台灣科技大學企管系</w:t>
                      </w:r>
                      <w:r w:rsidR="005B156F" w:rsidRPr="005B156F">
                        <w:rPr>
                          <w:rFonts w:eastAsia="標楷體" w:hint="eastAsia"/>
                          <w:color w:val="000066"/>
                          <w:sz w:val="32"/>
                          <w:szCs w:val="32"/>
                        </w:rPr>
                        <w:t>)</w:t>
                      </w:r>
                    </w:p>
                    <w:p w:rsidR="00EE6DDF" w:rsidRDefault="0031175D" w:rsidP="00EE6DDF">
                      <w:pPr>
                        <w:pStyle w:val="1"/>
                        <w:keepNext w:val="0"/>
                        <w:tabs>
                          <w:tab w:val="left" w:pos="6379"/>
                        </w:tabs>
                        <w:adjustRightInd w:val="0"/>
                        <w:snapToGrid w:val="0"/>
                        <w:spacing w:beforeLines="50" w:after="0" w:line="480" w:lineRule="exact"/>
                        <w:ind w:left="-28" w:right="-28" w:firstLineChars="0" w:firstLine="0"/>
                        <w:textAlignment w:val="top"/>
                        <w:rPr>
                          <w:rFonts w:eastAsia="標楷體"/>
                          <w:color w:val="000066"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int="eastAsia"/>
                          <w:color w:val="000066"/>
                          <w:sz w:val="32"/>
                          <w:szCs w:val="32"/>
                        </w:rPr>
                        <w:t xml:space="preserve">      </w:t>
                      </w:r>
                      <w:r w:rsidR="005B156F">
                        <w:rPr>
                          <w:rFonts w:eastAsia="標楷體" w:hint="eastAsia"/>
                          <w:color w:val="000066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5B156F" w:rsidRPr="005B156F">
                        <w:rPr>
                          <w:rFonts w:eastAsia="標楷體" w:hint="eastAsia"/>
                          <w:color w:val="000066"/>
                          <w:sz w:val="32"/>
                          <w:szCs w:val="32"/>
                        </w:rPr>
                        <w:t>余</w:t>
                      </w:r>
                      <w:proofErr w:type="gramEnd"/>
                      <w:r w:rsidR="005B156F" w:rsidRPr="005B156F">
                        <w:rPr>
                          <w:rFonts w:eastAsia="標楷體" w:hint="eastAsia"/>
                          <w:color w:val="000066"/>
                          <w:sz w:val="32"/>
                          <w:szCs w:val="32"/>
                        </w:rPr>
                        <w:t>士</w:t>
                      </w:r>
                      <w:proofErr w:type="gramStart"/>
                      <w:r w:rsidR="005B156F" w:rsidRPr="005B156F">
                        <w:rPr>
                          <w:rFonts w:eastAsia="標楷體" w:hint="eastAsia"/>
                          <w:color w:val="000066"/>
                          <w:sz w:val="32"/>
                          <w:szCs w:val="32"/>
                        </w:rPr>
                        <w:t>迪</w:t>
                      </w:r>
                      <w:proofErr w:type="gramEnd"/>
                      <w:r w:rsidR="005B156F" w:rsidRPr="005B156F">
                        <w:rPr>
                          <w:rFonts w:eastAsia="標楷體" w:hint="eastAsia"/>
                          <w:color w:val="000066"/>
                          <w:sz w:val="32"/>
                          <w:szCs w:val="32"/>
                        </w:rPr>
                        <w:t>教授</w:t>
                      </w:r>
                      <w:r w:rsidR="005B156F" w:rsidRPr="005B156F">
                        <w:rPr>
                          <w:rFonts w:eastAsia="標楷體" w:hint="eastAsia"/>
                          <w:color w:val="000066"/>
                          <w:sz w:val="32"/>
                          <w:szCs w:val="32"/>
                        </w:rPr>
                        <w:t>(</w:t>
                      </w:r>
                      <w:r w:rsidR="005B156F" w:rsidRPr="005B156F">
                        <w:rPr>
                          <w:rFonts w:eastAsia="標楷體" w:hint="eastAsia"/>
                          <w:color w:val="000066"/>
                          <w:sz w:val="32"/>
                          <w:szCs w:val="32"/>
                        </w:rPr>
                        <w:t>國立清華大學計量財務金融學系</w:t>
                      </w:r>
                      <w:r w:rsidR="005B156F" w:rsidRPr="005B156F">
                        <w:rPr>
                          <w:rFonts w:eastAsia="標楷體" w:hint="eastAsia"/>
                          <w:color w:val="000066"/>
                          <w:sz w:val="32"/>
                          <w:szCs w:val="32"/>
                        </w:rPr>
                        <w:t>)</w:t>
                      </w:r>
                    </w:p>
                    <w:p w:rsidR="005B156F" w:rsidRPr="005B156F" w:rsidRDefault="005B156F" w:rsidP="005B156F">
                      <w:pPr>
                        <w:ind w:firstLineChars="620" w:firstLine="1984"/>
                        <w:rPr>
                          <w:rFonts w:eastAsia="標楷體"/>
                          <w:color w:val="000066"/>
                          <w:sz w:val="32"/>
                          <w:szCs w:val="32"/>
                        </w:rPr>
                      </w:pPr>
                      <w:r w:rsidRPr="005B156F">
                        <w:rPr>
                          <w:rFonts w:eastAsia="標楷體" w:hint="eastAsia"/>
                          <w:color w:val="000066"/>
                          <w:sz w:val="32"/>
                          <w:szCs w:val="32"/>
                        </w:rPr>
                        <w:t>彭紫寧小姐</w:t>
                      </w:r>
                      <w:r w:rsidRPr="005B156F">
                        <w:rPr>
                          <w:rFonts w:eastAsia="標楷體" w:hint="eastAsia"/>
                          <w:color w:val="000066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5B156F">
                        <w:rPr>
                          <w:rFonts w:eastAsia="標楷體" w:hint="eastAsia"/>
                          <w:color w:val="000066"/>
                          <w:sz w:val="32"/>
                          <w:szCs w:val="32"/>
                        </w:rPr>
                        <w:t>勤業眾信</w:t>
                      </w:r>
                      <w:proofErr w:type="gramEnd"/>
                      <w:r w:rsidRPr="005B156F">
                        <w:rPr>
                          <w:rFonts w:eastAsia="標楷體" w:hint="eastAsia"/>
                          <w:color w:val="000066"/>
                          <w:sz w:val="32"/>
                          <w:szCs w:val="32"/>
                        </w:rPr>
                        <w:t>會計師事務所</w:t>
                      </w:r>
                      <w:r w:rsidRPr="005B156F">
                        <w:rPr>
                          <w:rFonts w:eastAsia="標楷體" w:hint="eastAsia"/>
                          <w:color w:val="000066"/>
                          <w:sz w:val="32"/>
                          <w:szCs w:val="32"/>
                        </w:rPr>
                        <w:t>)</w:t>
                      </w:r>
                    </w:p>
                    <w:p w:rsidR="001962FC" w:rsidRDefault="001962FC" w:rsidP="001962FC">
                      <w:pPr>
                        <w:ind w:firstLine="420"/>
                      </w:pPr>
                    </w:p>
                    <w:p w:rsidR="005B156F" w:rsidRDefault="005B156F" w:rsidP="005B156F">
                      <w:pPr>
                        <w:autoSpaceDE w:val="0"/>
                        <w:autoSpaceDN w:val="0"/>
                        <w:adjustRightInd w:val="0"/>
                        <w:ind w:leftChars="50" w:left="105" w:rightChars="50" w:right="105" w:firstLineChars="0" w:firstLine="0"/>
                        <w:jc w:val="lef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5B156F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本研究探討兩問題：第一、積極參與企業社會責任公司(亦即CSR績效高於樣本中位數者，以下稱「高CSR公司」)是否透過實質盈餘管理(RM)來達成盈餘目標(亦即達成零淨利或去年淨利水準)。第二、若高CSR公司</w:t>
                      </w:r>
                      <w:proofErr w:type="gramStart"/>
                      <w:r w:rsidRPr="005B156F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採</w:t>
                      </w:r>
                      <w:proofErr w:type="gramEnd"/>
                      <w:r w:rsidRPr="005B156F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RM來達成盈餘目標，可能的動機為何？研究結果發現，就樣本整體而言，公司會透過過度生產存貨的作法來達成盈餘目標。此結果符合「多重目的」及「訊息傳遞」假說。進一步分析發現，低CSR公司透過RM來達成盈餘目標可能肇因於投機因素。相反地，高CSR公司較可能為了維護公司信譽。</w:t>
                      </w:r>
                    </w:p>
                    <w:p w:rsidR="00EE6DDF" w:rsidRDefault="0017584F" w:rsidP="00EE6DDF">
                      <w:pPr>
                        <w:autoSpaceDE w:val="0"/>
                        <w:autoSpaceDN w:val="0"/>
                        <w:adjustRightInd w:val="0"/>
                        <w:ind w:leftChars="50" w:left="105" w:rightChars="50" w:right="105" w:firstLineChars="0" w:firstLine="0"/>
                        <w:jc w:val="center"/>
                        <w:rPr>
                          <w:rFonts w:eastAsia="標楷體"/>
                          <w:color w:val="0066CC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int="eastAsia"/>
                          <w:color w:val="000066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 w:rsidR="00EE6DDF" w:rsidRPr="00875300">
                        <w:rPr>
                          <w:rFonts w:eastAsia="標楷體" w:hint="eastAsia"/>
                          <w:color w:val="000066"/>
                          <w:spacing w:val="-20"/>
                          <w:sz w:val="32"/>
                          <w:szCs w:val="32"/>
                        </w:rPr>
                        <w:t>第</w:t>
                      </w:r>
                      <w:r w:rsidR="00601E11">
                        <w:rPr>
                          <w:rFonts w:eastAsia="標楷體" w:hint="eastAsia"/>
                          <w:color w:val="000066"/>
                          <w:spacing w:val="-20"/>
                          <w:sz w:val="32"/>
                          <w:szCs w:val="32"/>
                        </w:rPr>
                        <w:t>121</w:t>
                      </w:r>
                      <w:r w:rsidR="00EE6DDF" w:rsidRPr="00875300">
                        <w:rPr>
                          <w:rFonts w:eastAsia="標楷體" w:hint="eastAsia"/>
                          <w:color w:val="000066"/>
                          <w:spacing w:val="-20"/>
                          <w:sz w:val="32"/>
                          <w:szCs w:val="32"/>
                        </w:rPr>
                        <w:t>期，</w:t>
                      </w:r>
                      <w:r w:rsidR="005B156F">
                        <w:rPr>
                          <w:rFonts w:eastAsia="標楷體" w:hint="eastAsia"/>
                          <w:color w:val="000066"/>
                          <w:spacing w:val="-20"/>
                          <w:sz w:val="32"/>
                          <w:szCs w:val="32"/>
                        </w:rPr>
                        <w:t>108</w:t>
                      </w:r>
                      <w:r w:rsidR="00EE6DDF" w:rsidRPr="00875300">
                        <w:rPr>
                          <w:rFonts w:eastAsia="標楷體" w:hint="eastAsia"/>
                          <w:color w:val="000066"/>
                          <w:spacing w:val="-20"/>
                          <w:sz w:val="32"/>
                          <w:szCs w:val="32"/>
                        </w:rPr>
                        <w:t>年</w:t>
                      </w:r>
                      <w:r w:rsidR="00227E27">
                        <w:rPr>
                          <w:rFonts w:eastAsia="標楷體" w:hint="eastAsia"/>
                          <w:color w:val="000066"/>
                          <w:spacing w:val="-20"/>
                          <w:sz w:val="32"/>
                          <w:szCs w:val="32"/>
                        </w:rPr>
                        <w:t>3</w:t>
                      </w:r>
                      <w:bookmarkStart w:id="1" w:name="_GoBack"/>
                      <w:bookmarkEnd w:id="1"/>
                      <w:r w:rsidR="00EE6DDF" w:rsidRPr="00875300">
                        <w:rPr>
                          <w:rFonts w:eastAsia="標楷體" w:hint="eastAsia"/>
                          <w:color w:val="000066"/>
                          <w:spacing w:val="-20"/>
                          <w:sz w:val="32"/>
                          <w:szCs w:val="32"/>
                        </w:rPr>
                        <w:t>月第</w:t>
                      </w:r>
                      <w:r w:rsidR="005B156F">
                        <w:rPr>
                          <w:rFonts w:eastAsia="標楷體" w:hint="eastAsia"/>
                          <w:color w:val="000066"/>
                          <w:spacing w:val="-20"/>
                          <w:sz w:val="32"/>
                          <w:szCs w:val="32"/>
                        </w:rPr>
                        <w:t>31</w:t>
                      </w:r>
                      <w:r w:rsidR="00EE6DDF" w:rsidRPr="00875300">
                        <w:rPr>
                          <w:rFonts w:eastAsia="標楷體" w:hint="eastAsia"/>
                          <w:color w:val="000066"/>
                          <w:spacing w:val="-20"/>
                          <w:sz w:val="32"/>
                          <w:szCs w:val="32"/>
                        </w:rPr>
                        <w:t>卷第</w:t>
                      </w:r>
                      <w:r w:rsidR="00601E11">
                        <w:rPr>
                          <w:rFonts w:eastAsia="標楷體" w:hint="eastAsia"/>
                          <w:color w:val="000066"/>
                          <w:spacing w:val="-20"/>
                          <w:sz w:val="32"/>
                          <w:szCs w:val="32"/>
                        </w:rPr>
                        <w:t>1</w:t>
                      </w:r>
                      <w:r w:rsidR="00EE6DDF" w:rsidRPr="00875300">
                        <w:rPr>
                          <w:rFonts w:eastAsia="標楷體" w:hint="eastAsia"/>
                          <w:color w:val="000066"/>
                          <w:spacing w:val="-20"/>
                          <w:sz w:val="32"/>
                          <w:szCs w:val="32"/>
                        </w:rPr>
                        <w:t>期</w:t>
                      </w:r>
                    </w:p>
                    <w:p w:rsidR="00EE6DDF" w:rsidRPr="00DA3F20" w:rsidRDefault="00EE6DDF" w:rsidP="00EE6DDF">
                      <w:pPr>
                        <w:overflowPunct w:val="0"/>
                        <w:adjustRightInd w:val="0"/>
                        <w:snapToGrid w:val="0"/>
                        <w:spacing w:beforeLines="50" w:before="180" w:line="440" w:lineRule="exact"/>
                        <w:ind w:leftChars="200" w:left="420" w:rightChars="135" w:right="283" w:firstLineChars="0" w:firstLine="573"/>
                        <w:jc w:val="center"/>
                        <w:rPr>
                          <w:rFonts w:eastAsia="標楷體"/>
                          <w:color w:val="000066"/>
                          <w:spacing w:val="-20"/>
                          <w:sz w:val="32"/>
                          <w:szCs w:val="32"/>
                        </w:rPr>
                      </w:pPr>
                    </w:p>
                    <w:p w:rsidR="00EE6DDF" w:rsidRDefault="00EE6DDF" w:rsidP="00EE6DDF">
                      <w:pPr>
                        <w:overflowPunct w:val="0"/>
                        <w:adjustRightInd w:val="0"/>
                        <w:snapToGrid w:val="0"/>
                        <w:spacing w:beforeLines="50" w:before="180" w:line="440" w:lineRule="exact"/>
                        <w:ind w:leftChars="200" w:left="420" w:rightChars="135" w:right="283" w:firstLineChars="0" w:firstLine="573"/>
                        <w:jc w:val="center"/>
                        <w:rPr>
                          <w:rFonts w:ascii="新細明體" w:eastAsiaTheme="minorEastAsia" w:hAnsiTheme="minorHAnsi" w:cs="新細明體"/>
                          <w:kern w:val="0"/>
                          <w:szCs w:val="21"/>
                        </w:rPr>
                      </w:pPr>
                    </w:p>
                    <w:p w:rsidR="00EE6DDF" w:rsidRDefault="00EE6DDF" w:rsidP="00EE6DDF">
                      <w:pPr>
                        <w:overflowPunct w:val="0"/>
                        <w:adjustRightInd w:val="0"/>
                        <w:snapToGrid w:val="0"/>
                        <w:spacing w:beforeLines="50" w:before="180" w:line="440" w:lineRule="exact"/>
                        <w:ind w:leftChars="200" w:left="420" w:rightChars="135" w:right="283" w:firstLineChars="0" w:firstLine="573"/>
                        <w:jc w:val="center"/>
                        <w:rPr>
                          <w:rFonts w:ascii="新細明體" w:eastAsiaTheme="minorEastAsia" w:hAnsiTheme="minorHAnsi" w:cs="新細明體"/>
                          <w:kern w:val="0"/>
                          <w:szCs w:val="21"/>
                        </w:rPr>
                      </w:pPr>
                    </w:p>
                    <w:p w:rsidR="00EE6DDF" w:rsidRDefault="00EE6DDF" w:rsidP="00EE6DDF">
                      <w:pPr>
                        <w:overflowPunct w:val="0"/>
                        <w:adjustRightInd w:val="0"/>
                        <w:snapToGrid w:val="0"/>
                        <w:spacing w:beforeLines="50" w:before="180" w:line="440" w:lineRule="exact"/>
                        <w:ind w:leftChars="200" w:left="420" w:rightChars="135" w:right="283" w:firstLineChars="0" w:firstLine="573"/>
                        <w:jc w:val="center"/>
                        <w:rPr>
                          <w:rFonts w:ascii="新細明體" w:eastAsiaTheme="minorEastAsia" w:hAnsiTheme="minorHAnsi" w:cs="新細明體"/>
                          <w:kern w:val="0"/>
                          <w:szCs w:val="21"/>
                        </w:rPr>
                      </w:pPr>
                    </w:p>
                    <w:p w:rsidR="00EE6DDF" w:rsidRPr="00DA3F20" w:rsidRDefault="00EE6DDF" w:rsidP="00EE6DDF">
                      <w:pPr>
                        <w:overflowPunct w:val="0"/>
                        <w:adjustRightInd w:val="0"/>
                        <w:snapToGrid w:val="0"/>
                        <w:spacing w:beforeLines="50" w:before="180" w:line="440" w:lineRule="exact"/>
                        <w:ind w:leftChars="200" w:left="420" w:rightChars="135" w:right="283" w:firstLineChars="0" w:firstLine="573"/>
                        <w:jc w:val="center"/>
                        <w:rPr>
                          <w:rFonts w:eastAsia="標楷體"/>
                          <w:color w:val="000066"/>
                          <w:spacing w:val="-20"/>
                          <w:sz w:val="32"/>
                          <w:szCs w:val="32"/>
                        </w:rPr>
                      </w:pPr>
                      <w:r w:rsidRPr="00DA3F20">
                        <w:rPr>
                          <w:rFonts w:eastAsia="標楷體" w:hint="eastAsia"/>
                          <w:color w:val="000066"/>
                          <w:spacing w:val="-20"/>
                          <w:sz w:val="32"/>
                          <w:szCs w:val="32"/>
                        </w:rPr>
                        <w:t>第</w:t>
                      </w:r>
                      <w:r w:rsidRPr="00DA3F20">
                        <w:rPr>
                          <w:rFonts w:eastAsia="標楷體" w:hint="eastAsia"/>
                          <w:color w:val="000066"/>
                          <w:spacing w:val="-20"/>
                          <w:sz w:val="32"/>
                          <w:szCs w:val="32"/>
                        </w:rPr>
                        <w:t>114</w:t>
                      </w:r>
                      <w:r w:rsidRPr="00DA3F20">
                        <w:rPr>
                          <w:rFonts w:eastAsia="標楷體" w:hint="eastAsia"/>
                          <w:color w:val="000066"/>
                          <w:spacing w:val="-20"/>
                          <w:sz w:val="32"/>
                          <w:szCs w:val="32"/>
                        </w:rPr>
                        <w:t>期，</w:t>
                      </w:r>
                      <w:r w:rsidRPr="00DA3F20">
                        <w:rPr>
                          <w:rFonts w:eastAsia="標楷體" w:hint="eastAsia"/>
                          <w:color w:val="000066"/>
                          <w:spacing w:val="-20"/>
                          <w:sz w:val="32"/>
                          <w:szCs w:val="32"/>
                        </w:rPr>
                        <w:t>106</w:t>
                      </w:r>
                      <w:r w:rsidRPr="00DA3F20">
                        <w:rPr>
                          <w:rFonts w:eastAsia="標楷體" w:hint="eastAsia"/>
                          <w:color w:val="000066"/>
                          <w:spacing w:val="-20"/>
                          <w:sz w:val="32"/>
                          <w:szCs w:val="32"/>
                        </w:rPr>
                        <w:t>年</w:t>
                      </w:r>
                      <w:r w:rsidRPr="00DA3F20">
                        <w:rPr>
                          <w:rFonts w:eastAsia="標楷體" w:hint="eastAsia"/>
                          <w:color w:val="000066"/>
                          <w:spacing w:val="-20"/>
                          <w:sz w:val="32"/>
                          <w:szCs w:val="32"/>
                        </w:rPr>
                        <w:t>6</w:t>
                      </w:r>
                      <w:r w:rsidRPr="00DA3F20">
                        <w:rPr>
                          <w:rFonts w:eastAsia="標楷體" w:hint="eastAsia"/>
                          <w:color w:val="000066"/>
                          <w:spacing w:val="-20"/>
                          <w:sz w:val="32"/>
                          <w:szCs w:val="32"/>
                        </w:rPr>
                        <w:t>月第</w:t>
                      </w:r>
                      <w:r w:rsidRPr="00DA3F20">
                        <w:rPr>
                          <w:rFonts w:eastAsia="標楷體" w:hint="eastAsia"/>
                          <w:color w:val="000066"/>
                          <w:spacing w:val="-20"/>
                          <w:sz w:val="32"/>
                          <w:szCs w:val="32"/>
                        </w:rPr>
                        <w:t>29</w:t>
                      </w:r>
                      <w:r w:rsidRPr="00DA3F20">
                        <w:rPr>
                          <w:rFonts w:eastAsia="標楷體" w:hint="eastAsia"/>
                          <w:color w:val="000066"/>
                          <w:spacing w:val="-20"/>
                          <w:sz w:val="32"/>
                          <w:szCs w:val="32"/>
                        </w:rPr>
                        <w:t>卷第</w:t>
                      </w:r>
                      <w:r w:rsidRPr="00DA3F20">
                        <w:rPr>
                          <w:rFonts w:eastAsia="標楷體" w:hint="eastAsia"/>
                          <w:color w:val="000066"/>
                          <w:spacing w:val="-20"/>
                          <w:sz w:val="32"/>
                          <w:szCs w:val="32"/>
                        </w:rPr>
                        <w:t>2</w:t>
                      </w:r>
                      <w:r w:rsidRPr="00DA3F20">
                        <w:rPr>
                          <w:rFonts w:eastAsia="標楷體" w:hint="eastAsia"/>
                          <w:color w:val="000066"/>
                          <w:spacing w:val="-20"/>
                          <w:sz w:val="32"/>
                          <w:szCs w:val="32"/>
                        </w:rPr>
                        <w:t>期</w:t>
                      </w:r>
                    </w:p>
                  </w:txbxContent>
                </v:textbox>
              </v:rect>
            </w:pict>
          </mc:Fallback>
        </mc:AlternateContent>
      </w:r>
    </w:p>
    <w:p w:rsidR="00EE6DDF" w:rsidRDefault="00EE6DDF" w:rsidP="00EE6DDF">
      <w:pPr>
        <w:ind w:firstLineChars="96"/>
        <w:jc w:val="center"/>
        <w:rPr>
          <w:rFonts w:ascii="華康流隸體W5" w:eastAsia="華康流隸體W5"/>
          <w:color w:val="FF0000"/>
          <w:sz w:val="48"/>
          <w:szCs w:val="48"/>
        </w:rPr>
      </w:pPr>
    </w:p>
    <w:p w:rsidR="00EE6DDF" w:rsidRDefault="00EE6DDF" w:rsidP="00EE6DDF">
      <w:pPr>
        <w:ind w:firstLineChars="96"/>
        <w:jc w:val="center"/>
        <w:rPr>
          <w:rFonts w:ascii="華康流隸體W5" w:eastAsia="華康流隸體W5"/>
          <w:color w:val="FF0000"/>
          <w:sz w:val="48"/>
          <w:szCs w:val="48"/>
        </w:rPr>
      </w:pPr>
    </w:p>
    <w:p w:rsidR="00EE6DDF" w:rsidRDefault="00EE6DDF" w:rsidP="00EE6DDF">
      <w:pPr>
        <w:ind w:firstLineChars="96"/>
        <w:jc w:val="center"/>
        <w:rPr>
          <w:rFonts w:ascii="華康流隸體W5" w:eastAsia="華康流隸體W5"/>
          <w:color w:val="FF0000"/>
          <w:sz w:val="48"/>
          <w:szCs w:val="48"/>
        </w:rPr>
      </w:pPr>
    </w:p>
    <w:p w:rsidR="00EE6DDF" w:rsidRDefault="00EE6DDF" w:rsidP="00EE6DDF">
      <w:pPr>
        <w:ind w:firstLineChars="96"/>
        <w:jc w:val="center"/>
        <w:rPr>
          <w:rFonts w:ascii="華康流隸體W5" w:eastAsia="華康流隸體W5"/>
          <w:color w:val="FF0000"/>
          <w:sz w:val="48"/>
          <w:szCs w:val="48"/>
        </w:rPr>
      </w:pPr>
    </w:p>
    <w:p w:rsidR="00EE6DDF" w:rsidRDefault="00EE6DDF" w:rsidP="00EE6DDF">
      <w:pPr>
        <w:ind w:firstLineChars="96"/>
        <w:jc w:val="center"/>
        <w:rPr>
          <w:rFonts w:ascii="華康流隸體W5" w:eastAsia="華康流隸體W5"/>
          <w:color w:val="FF0000"/>
          <w:sz w:val="48"/>
          <w:szCs w:val="48"/>
        </w:rPr>
      </w:pPr>
    </w:p>
    <w:p w:rsidR="00EE6DDF" w:rsidRDefault="00EE6DDF" w:rsidP="00EE6DDF">
      <w:pPr>
        <w:ind w:firstLineChars="96"/>
        <w:jc w:val="center"/>
        <w:rPr>
          <w:rFonts w:ascii="華康流隸體W5" w:eastAsia="華康流隸體W5"/>
          <w:color w:val="FF0000"/>
          <w:sz w:val="48"/>
          <w:szCs w:val="48"/>
        </w:rPr>
      </w:pPr>
    </w:p>
    <w:p w:rsidR="00EE6DDF" w:rsidRDefault="00EE6DDF" w:rsidP="00EE6DDF">
      <w:pPr>
        <w:ind w:firstLineChars="96"/>
        <w:jc w:val="center"/>
        <w:rPr>
          <w:rFonts w:ascii="華康流隸體W5" w:eastAsia="華康流隸體W5"/>
          <w:color w:val="FF0000"/>
          <w:sz w:val="48"/>
          <w:szCs w:val="48"/>
        </w:rPr>
      </w:pPr>
    </w:p>
    <w:p w:rsidR="00EE6DDF" w:rsidRDefault="00EE6DDF" w:rsidP="00EE6DDF">
      <w:pPr>
        <w:ind w:firstLineChars="96"/>
        <w:jc w:val="center"/>
        <w:rPr>
          <w:rFonts w:ascii="華康流隸體W5" w:eastAsia="華康流隸體W5"/>
          <w:color w:val="FF0000"/>
          <w:sz w:val="48"/>
          <w:szCs w:val="48"/>
        </w:rPr>
      </w:pPr>
    </w:p>
    <w:p w:rsidR="00EE6DDF" w:rsidRDefault="00EE6DDF" w:rsidP="00EE6DDF">
      <w:pPr>
        <w:ind w:firstLineChars="96"/>
        <w:jc w:val="center"/>
        <w:rPr>
          <w:rFonts w:ascii="華康流隸體W5" w:eastAsia="華康流隸體W5"/>
          <w:color w:val="FF0000"/>
          <w:sz w:val="48"/>
          <w:szCs w:val="48"/>
        </w:rPr>
      </w:pPr>
    </w:p>
    <w:p w:rsidR="00EE6DDF" w:rsidRDefault="00EE6DDF" w:rsidP="00EE6DDF">
      <w:pPr>
        <w:ind w:firstLineChars="96"/>
        <w:jc w:val="center"/>
        <w:rPr>
          <w:rFonts w:ascii="華康流隸體W5" w:eastAsia="華康流隸體W5"/>
          <w:color w:val="FF0000"/>
          <w:sz w:val="48"/>
          <w:szCs w:val="48"/>
        </w:rPr>
      </w:pPr>
    </w:p>
    <w:p w:rsidR="00EE6DDF" w:rsidRDefault="00EE6DDF" w:rsidP="00EE6DDF">
      <w:pPr>
        <w:ind w:firstLineChars="0" w:firstLine="0"/>
        <w:rPr>
          <w:rFonts w:ascii="華康流隸體W5" w:eastAsia="華康流隸體W5"/>
          <w:color w:val="FF0000"/>
          <w:sz w:val="48"/>
          <w:szCs w:val="48"/>
        </w:rPr>
      </w:pPr>
    </w:p>
    <w:sectPr w:rsidR="00EE6DDF" w:rsidSect="009D3C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6" w:bottom="1701" w:left="567" w:header="709" w:footer="4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71" w:rsidRDefault="00065F71" w:rsidP="00B70D2B">
      <w:pPr>
        <w:ind w:firstLine="420"/>
      </w:pPr>
      <w:r>
        <w:separator/>
      </w:r>
    </w:p>
  </w:endnote>
  <w:endnote w:type="continuationSeparator" w:id="0">
    <w:p w:rsidR="00065F71" w:rsidRDefault="00065F71" w:rsidP="00B70D2B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流隸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2B" w:rsidRDefault="00B70D2B" w:rsidP="00B70D2B">
    <w:pPr>
      <w:pStyle w:val="a7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2B" w:rsidRDefault="00401B50" w:rsidP="00A90019">
    <w:pPr>
      <w:pStyle w:val="a7"/>
      <w:ind w:leftChars="360" w:left="756" w:firstLineChars="0" w:firstLine="1"/>
    </w:pPr>
    <w:r w:rsidRPr="00401B50">
      <w:rPr>
        <w:noProof/>
      </w:rPr>
      <w:drawing>
        <wp:anchor distT="0" distB="0" distL="114300" distR="114300" simplePos="0" relativeHeight="251658752" behindDoc="0" locked="0" layoutInCell="1" allowOverlap="1" wp14:anchorId="3A9D6B04" wp14:editId="441F3991">
          <wp:simplePos x="0" y="0"/>
          <wp:positionH relativeFrom="column">
            <wp:posOffset>535304</wp:posOffset>
          </wp:positionH>
          <wp:positionV relativeFrom="paragraph">
            <wp:posOffset>-851535</wp:posOffset>
          </wp:positionV>
          <wp:extent cx="5838825" cy="761749"/>
          <wp:effectExtent l="0" t="0" r="0" b="635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47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2B" w:rsidRDefault="00B70D2B" w:rsidP="00B70D2B">
    <w:pPr>
      <w:pStyle w:val="a7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71" w:rsidRDefault="00065F71" w:rsidP="00B70D2B">
      <w:pPr>
        <w:ind w:firstLine="420"/>
      </w:pPr>
      <w:r>
        <w:separator/>
      </w:r>
    </w:p>
  </w:footnote>
  <w:footnote w:type="continuationSeparator" w:id="0">
    <w:p w:rsidR="00065F71" w:rsidRDefault="00065F71" w:rsidP="00B70D2B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2B" w:rsidRDefault="00B70D2B" w:rsidP="00B70D2B">
    <w:pPr>
      <w:pStyle w:val="a5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2B" w:rsidRDefault="00B70D2B" w:rsidP="007A7594">
    <w:pPr>
      <w:pStyle w:val="a5"/>
      <w:ind w:firstLine="40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2B" w:rsidRDefault="00B70D2B" w:rsidP="00B70D2B">
    <w:pPr>
      <w:pStyle w:val="a5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FB8"/>
    <w:multiLevelType w:val="hybridMultilevel"/>
    <w:tmpl w:val="494A2760"/>
    <w:lvl w:ilvl="0" w:tplc="84A8A66E">
      <w:start w:val="1"/>
      <w:numFmt w:val="bullet"/>
      <w:lvlText w:val=""/>
      <w:lvlJc w:val="left"/>
      <w:pPr>
        <w:ind w:left="1808" w:hanging="39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94"/>
    <w:rsid w:val="00065F71"/>
    <w:rsid w:val="000B7C56"/>
    <w:rsid w:val="000C1A66"/>
    <w:rsid w:val="000C4A96"/>
    <w:rsid w:val="000F494A"/>
    <w:rsid w:val="00125CE9"/>
    <w:rsid w:val="0017584F"/>
    <w:rsid w:val="00184964"/>
    <w:rsid w:val="001962FC"/>
    <w:rsid w:val="001A764D"/>
    <w:rsid w:val="001B18FF"/>
    <w:rsid w:val="00227E27"/>
    <w:rsid w:val="0025083F"/>
    <w:rsid w:val="00251477"/>
    <w:rsid w:val="00293C5E"/>
    <w:rsid w:val="002A5D83"/>
    <w:rsid w:val="002E01BF"/>
    <w:rsid w:val="0031175D"/>
    <w:rsid w:val="00314845"/>
    <w:rsid w:val="00333504"/>
    <w:rsid w:val="00351546"/>
    <w:rsid w:val="00395979"/>
    <w:rsid w:val="003B1F63"/>
    <w:rsid w:val="00401B50"/>
    <w:rsid w:val="00436E95"/>
    <w:rsid w:val="004727D2"/>
    <w:rsid w:val="004854E5"/>
    <w:rsid w:val="00490460"/>
    <w:rsid w:val="004D3E00"/>
    <w:rsid w:val="0051082E"/>
    <w:rsid w:val="00560CCA"/>
    <w:rsid w:val="005745B4"/>
    <w:rsid w:val="00590BE8"/>
    <w:rsid w:val="005B156F"/>
    <w:rsid w:val="005B64BB"/>
    <w:rsid w:val="005D64AF"/>
    <w:rsid w:val="005F4766"/>
    <w:rsid w:val="005F6A34"/>
    <w:rsid w:val="00601E11"/>
    <w:rsid w:val="006109DE"/>
    <w:rsid w:val="00692F67"/>
    <w:rsid w:val="00694DB6"/>
    <w:rsid w:val="006B7E4F"/>
    <w:rsid w:val="006E2F0E"/>
    <w:rsid w:val="006E52B4"/>
    <w:rsid w:val="00711003"/>
    <w:rsid w:val="00724306"/>
    <w:rsid w:val="00724E28"/>
    <w:rsid w:val="007A7594"/>
    <w:rsid w:val="007B3FB0"/>
    <w:rsid w:val="008113B1"/>
    <w:rsid w:val="00875300"/>
    <w:rsid w:val="008757AA"/>
    <w:rsid w:val="008876A1"/>
    <w:rsid w:val="00891ABF"/>
    <w:rsid w:val="009239F9"/>
    <w:rsid w:val="00954C22"/>
    <w:rsid w:val="0095513F"/>
    <w:rsid w:val="009608B1"/>
    <w:rsid w:val="00971F99"/>
    <w:rsid w:val="00985E94"/>
    <w:rsid w:val="009A6BED"/>
    <w:rsid w:val="009D3CAD"/>
    <w:rsid w:val="00A47275"/>
    <w:rsid w:val="00A73B23"/>
    <w:rsid w:val="00A90019"/>
    <w:rsid w:val="00A91F12"/>
    <w:rsid w:val="00AC1CA7"/>
    <w:rsid w:val="00B2683B"/>
    <w:rsid w:val="00B30A1E"/>
    <w:rsid w:val="00B70D2B"/>
    <w:rsid w:val="00BB6D1F"/>
    <w:rsid w:val="00BE1081"/>
    <w:rsid w:val="00C66C5E"/>
    <w:rsid w:val="00C75D42"/>
    <w:rsid w:val="00C9621D"/>
    <w:rsid w:val="00CB18D1"/>
    <w:rsid w:val="00CB4AAD"/>
    <w:rsid w:val="00CC2F18"/>
    <w:rsid w:val="00CE74B8"/>
    <w:rsid w:val="00D54893"/>
    <w:rsid w:val="00D555AC"/>
    <w:rsid w:val="00D73356"/>
    <w:rsid w:val="00DA3F20"/>
    <w:rsid w:val="00DB6A7A"/>
    <w:rsid w:val="00DC4EBA"/>
    <w:rsid w:val="00DE03CF"/>
    <w:rsid w:val="00DF43D2"/>
    <w:rsid w:val="00E21E3B"/>
    <w:rsid w:val="00E967FA"/>
    <w:rsid w:val="00EA3748"/>
    <w:rsid w:val="00EC40BC"/>
    <w:rsid w:val="00EE6DDF"/>
    <w:rsid w:val="00F003C7"/>
    <w:rsid w:val="00F01161"/>
    <w:rsid w:val="00F151FF"/>
    <w:rsid w:val="00F76E30"/>
    <w:rsid w:val="00FA26CA"/>
    <w:rsid w:val="00FA4F19"/>
    <w:rsid w:val="00FC6851"/>
    <w:rsid w:val="00FC693E"/>
    <w:rsid w:val="00FD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94"/>
    <w:pPr>
      <w:widowControl w:val="0"/>
      <w:ind w:firstLineChars="200" w:firstLine="461"/>
      <w:jc w:val="both"/>
    </w:pPr>
    <w:rPr>
      <w:rFonts w:ascii="Times New Roman" w:eastAsia="新細明體" w:hAnsi="Times New Roman" w:cs="Times New Roman"/>
      <w:sz w:val="21"/>
      <w:szCs w:val="20"/>
    </w:rPr>
  </w:style>
  <w:style w:type="paragraph" w:styleId="1">
    <w:name w:val="heading 1"/>
    <w:aliases w:val="姓名,字元, 字元"/>
    <w:basedOn w:val="a"/>
    <w:next w:val="a"/>
    <w:link w:val="10"/>
    <w:qFormat/>
    <w:rsid w:val="00985E94"/>
    <w:pPr>
      <w:keepNext/>
      <w:spacing w:before="180" w:after="240" w:line="720" w:lineRule="atLeast"/>
      <w:jc w:val="center"/>
      <w:outlineLvl w:val="0"/>
    </w:pPr>
    <w:rPr>
      <w:rFonts w:eastAsia="華康粗明體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E94"/>
    <w:pPr>
      <w:ind w:firstLineChars="0" w:firstLine="0"/>
      <w:jc w:val="left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5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aliases w:val="姓名 字元,字元 字元, 字元 字元"/>
    <w:basedOn w:val="a0"/>
    <w:link w:val="1"/>
    <w:rsid w:val="00985E94"/>
    <w:rPr>
      <w:rFonts w:ascii="Times New Roman" w:eastAsia="華康粗明體" w:hAnsi="Times New Roman" w:cs="Times New Roman"/>
      <w:sz w:val="5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70D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B70D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70D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B70D2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semiHidden/>
    <w:rsid w:val="00DE03CF"/>
    <w:pPr>
      <w:autoSpaceDE w:val="0"/>
      <w:autoSpaceDN w:val="0"/>
      <w:adjustRightInd w:val="0"/>
      <w:snapToGrid w:val="0"/>
      <w:spacing w:line="360" w:lineRule="auto"/>
      <w:ind w:firstLineChars="0" w:firstLine="0"/>
      <w:jc w:val="left"/>
    </w:pPr>
    <w:rPr>
      <w:rFonts w:eastAsia="標楷體"/>
      <w:sz w:val="28"/>
      <w:szCs w:val="24"/>
    </w:rPr>
  </w:style>
  <w:style w:type="character" w:customStyle="1" w:styleId="aa">
    <w:name w:val="本文 字元"/>
    <w:basedOn w:val="a0"/>
    <w:link w:val="a9"/>
    <w:semiHidden/>
    <w:rsid w:val="00DE03CF"/>
    <w:rPr>
      <w:rFonts w:ascii="Times New Roman" w:eastAsia="標楷體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2A5D8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94"/>
    <w:pPr>
      <w:widowControl w:val="0"/>
      <w:ind w:firstLineChars="200" w:firstLine="461"/>
      <w:jc w:val="both"/>
    </w:pPr>
    <w:rPr>
      <w:rFonts w:ascii="Times New Roman" w:eastAsia="新細明體" w:hAnsi="Times New Roman" w:cs="Times New Roman"/>
      <w:sz w:val="21"/>
      <w:szCs w:val="20"/>
    </w:rPr>
  </w:style>
  <w:style w:type="paragraph" w:styleId="1">
    <w:name w:val="heading 1"/>
    <w:aliases w:val="姓名,字元, 字元"/>
    <w:basedOn w:val="a"/>
    <w:next w:val="a"/>
    <w:link w:val="10"/>
    <w:qFormat/>
    <w:rsid w:val="00985E94"/>
    <w:pPr>
      <w:keepNext/>
      <w:spacing w:before="180" w:after="240" w:line="720" w:lineRule="atLeast"/>
      <w:jc w:val="center"/>
      <w:outlineLvl w:val="0"/>
    </w:pPr>
    <w:rPr>
      <w:rFonts w:eastAsia="華康粗明體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E94"/>
    <w:pPr>
      <w:ind w:firstLineChars="0" w:firstLine="0"/>
      <w:jc w:val="left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5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aliases w:val="姓名 字元,字元 字元, 字元 字元"/>
    <w:basedOn w:val="a0"/>
    <w:link w:val="1"/>
    <w:rsid w:val="00985E94"/>
    <w:rPr>
      <w:rFonts w:ascii="Times New Roman" w:eastAsia="華康粗明體" w:hAnsi="Times New Roman" w:cs="Times New Roman"/>
      <w:sz w:val="5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70D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B70D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70D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B70D2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semiHidden/>
    <w:rsid w:val="00DE03CF"/>
    <w:pPr>
      <w:autoSpaceDE w:val="0"/>
      <w:autoSpaceDN w:val="0"/>
      <w:adjustRightInd w:val="0"/>
      <w:snapToGrid w:val="0"/>
      <w:spacing w:line="360" w:lineRule="auto"/>
      <w:ind w:firstLineChars="0" w:firstLine="0"/>
      <w:jc w:val="left"/>
    </w:pPr>
    <w:rPr>
      <w:rFonts w:eastAsia="標楷體"/>
      <w:sz w:val="28"/>
      <w:szCs w:val="24"/>
    </w:rPr>
  </w:style>
  <w:style w:type="character" w:customStyle="1" w:styleId="aa">
    <w:name w:val="本文 字元"/>
    <w:basedOn w:val="a0"/>
    <w:link w:val="a9"/>
    <w:semiHidden/>
    <w:rsid w:val="00DE03CF"/>
    <w:rPr>
      <w:rFonts w:ascii="Times New Roman" w:eastAsia="標楷體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2A5D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吳泰霖</cp:lastModifiedBy>
  <cp:revision>6</cp:revision>
  <cp:lastPrinted>2019-07-25T06:18:00Z</cp:lastPrinted>
  <dcterms:created xsi:type="dcterms:W3CDTF">2019-07-25T06:14:00Z</dcterms:created>
  <dcterms:modified xsi:type="dcterms:W3CDTF">2020-06-04T06:10:00Z</dcterms:modified>
</cp:coreProperties>
</file>